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F1" w:rsidRPr="002356DF" w:rsidRDefault="00E73CF1" w:rsidP="002356DF">
      <w:pPr>
        <w:rPr>
          <w:rFonts w:ascii="標楷體" w:eastAsia="標楷體" w:hAnsi="標楷體"/>
          <w:color w:val="000000"/>
        </w:rPr>
      </w:pPr>
      <w:r w:rsidRPr="002356DF">
        <w:rPr>
          <w:rFonts w:ascii="標楷體" w:eastAsia="標楷體" w:hAnsi="標楷體" w:hint="eastAsia"/>
          <w:color w:val="000000"/>
        </w:rPr>
        <w:t>附表</w:t>
      </w:r>
      <w:r w:rsidR="002356DF" w:rsidRPr="002356DF">
        <w:rPr>
          <w:rFonts w:ascii="標楷體" w:eastAsia="標楷體" w:hAnsi="標楷體" w:hint="eastAsia"/>
          <w:color w:val="000000"/>
        </w:rPr>
        <w:t>五</w:t>
      </w:r>
    </w:p>
    <w:p w:rsidR="00331538" w:rsidRPr="00D96DD3" w:rsidRDefault="002356DF" w:rsidP="002356DF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96DD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臺北市政府聯合採購發包中心</w:t>
      </w:r>
      <w:r w:rsidRPr="00D96DD3">
        <w:rPr>
          <w:rFonts w:ascii="標楷體" w:eastAsia="標楷體" w:hAnsi="標楷體" w:hint="eastAsia"/>
          <w:b/>
          <w:color w:val="000000"/>
          <w:sz w:val="32"/>
          <w:szCs w:val="32"/>
        </w:rPr>
        <w:t>代辦</w:t>
      </w:r>
      <w:r w:rsidR="00BC4A2F">
        <w:rPr>
          <w:rFonts w:ascii="標楷體" w:eastAsia="標楷體" w:hAnsi="標楷體" w:hint="eastAsia"/>
          <w:b/>
          <w:color w:val="000000"/>
          <w:sz w:val="32"/>
          <w:szCs w:val="32"/>
        </w:rPr>
        <w:t>案件之撥付</w:t>
      </w:r>
      <w:r w:rsidRPr="00D96DD3">
        <w:rPr>
          <w:rFonts w:ascii="標楷體" w:eastAsia="標楷體" w:hAnsi="標楷體" w:hint="eastAsia"/>
          <w:b/>
          <w:color w:val="000000"/>
          <w:sz w:val="32"/>
          <w:szCs w:val="32"/>
        </w:rPr>
        <w:t>標準</w:t>
      </w:r>
    </w:p>
    <w:p w:rsidR="002356DF" w:rsidRDefault="002356DF" w:rsidP="002356DF">
      <w:pPr>
        <w:jc w:val="center"/>
      </w:pPr>
    </w:p>
    <w:tbl>
      <w:tblPr>
        <w:tblW w:w="9781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1909"/>
        <w:gridCol w:w="2911"/>
      </w:tblGrid>
      <w:tr w:rsidR="002356DF" w:rsidRPr="002356DF" w:rsidTr="002356DF">
        <w:trPr>
          <w:trHeight w:val="581"/>
        </w:trPr>
        <w:tc>
          <w:tcPr>
            <w:tcW w:w="496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D96DD3" w:rsidRDefault="002356DF" w:rsidP="002356D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96DD3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工程採購預算</w:t>
            </w:r>
            <w:r w:rsidRPr="00D96DD3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金額</w:t>
            </w:r>
          </w:p>
        </w:tc>
        <w:tc>
          <w:tcPr>
            <w:tcW w:w="1909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D96DD3" w:rsidRDefault="002356D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96DD3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額度</w:t>
            </w:r>
            <w:r w:rsidRPr="00D96DD3">
              <w:rPr>
                <w:rFonts w:ascii="標楷體" w:eastAsia="標楷體" w:hAnsi="標楷體" w:cs="Times New Roman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291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D96DD3" w:rsidRDefault="002356D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96DD3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備註</w:t>
            </w:r>
            <w:r w:rsidRPr="00D96DD3">
              <w:rPr>
                <w:rFonts w:ascii="標楷體" w:eastAsia="標楷體" w:hAnsi="標楷體" w:cs="Times New Roman"/>
                <w:color w:val="000000"/>
                <w:kern w:val="2"/>
                <w:sz w:val="32"/>
                <w:szCs w:val="32"/>
              </w:rPr>
              <w:t xml:space="preserve"> </w:t>
            </w:r>
          </w:p>
        </w:tc>
      </w:tr>
      <w:tr w:rsidR="002356DF" w:rsidRPr="002356DF" w:rsidTr="002356DF">
        <w:trPr>
          <w:trHeight w:val="581"/>
        </w:trPr>
        <w:tc>
          <w:tcPr>
            <w:tcW w:w="496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500萬元以下部分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 w:rsidP="002356DF">
            <w:pPr>
              <w:pStyle w:val="Web"/>
              <w:spacing w:before="0" w:beforeAutospacing="0" w:after="0" w:afterAutospacing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0.1134％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2356DF" w:rsidRDefault="002356DF" w:rsidP="002356DF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1.</w:t>
            </w:r>
            <w:r w:rsidR="00853B1F">
              <w:rPr>
                <w:rFonts w:ascii="標楷體" w:eastAsia="標楷體" w:hAnsi="標楷體" w:cs="Arial" w:hint="eastAsia"/>
                <w:color w:val="000000"/>
              </w:rPr>
              <w:t>左列預算金額依招標公告之</w:t>
            </w:r>
            <w:r w:rsidR="00853B1F">
              <w:rPr>
                <w:rFonts w:ascii="標楷體" w:eastAsia="標楷體" w:hAnsi="標楷體" w:cs="Arial" w:hint="eastAsia"/>
                <w:color w:val="000000"/>
              </w:rPr>
              <w:t>預算金額</w:t>
            </w:r>
            <w:r w:rsidR="00853B1F">
              <w:rPr>
                <w:rFonts w:ascii="標楷體" w:eastAsia="標楷體" w:hAnsi="標楷體" w:cs="Arial" w:hint="eastAsia"/>
                <w:color w:val="000000"/>
              </w:rPr>
              <w:t>認定</w:t>
            </w:r>
            <w:r w:rsidRPr="002356DF">
              <w:rPr>
                <w:rFonts w:ascii="標楷體" w:eastAsia="標楷體" w:hAnsi="標楷體" w:cs="Arial"/>
                <w:color w:val="000000"/>
              </w:rPr>
              <w:t>。</w:t>
            </w:r>
          </w:p>
          <w:p w:rsidR="002356DF" w:rsidRPr="002356DF" w:rsidRDefault="002356DF" w:rsidP="00853B1F">
            <w:pPr>
              <w:pStyle w:val="Web"/>
              <w:spacing w:before="0" w:beforeAutospacing="0" w:after="0" w:afterAutospacing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</w:t>
            </w:r>
            <w:r w:rsidR="00853B1F" w:rsidRPr="00853B1F">
              <w:rPr>
                <w:rFonts w:ascii="標楷體" w:eastAsia="標楷體" w:hAnsi="標楷體" w:cs="Arial" w:hint="eastAsia"/>
                <w:color w:val="000000"/>
              </w:rPr>
              <w:t>撥付</w:t>
            </w:r>
            <w:r w:rsidR="00853B1F">
              <w:rPr>
                <w:rFonts w:ascii="標楷體" w:eastAsia="標楷體" w:hAnsi="標楷體" w:cs="Arial" w:hint="eastAsia"/>
                <w:color w:val="000000"/>
              </w:rPr>
              <w:t>金額應按預算金額</w:t>
            </w:r>
            <w:bookmarkStart w:id="0" w:name="_GoBack"/>
            <w:bookmarkEnd w:id="0"/>
            <w:r w:rsidR="00853B1F">
              <w:rPr>
                <w:rFonts w:ascii="標楷體" w:eastAsia="標楷體" w:hAnsi="標楷體" w:cs="Arial" w:hint="eastAsia"/>
                <w:color w:val="000000"/>
              </w:rPr>
              <w:t>級距分段計算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2356DF" w:rsidRPr="002356DF" w:rsidTr="002356DF">
        <w:trPr>
          <w:trHeight w:val="581"/>
        </w:trPr>
        <w:tc>
          <w:tcPr>
            <w:tcW w:w="496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超過500萬元至2,500萬元部分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 w:rsidP="002356DF">
            <w:pPr>
              <w:pStyle w:val="Web"/>
              <w:spacing w:before="0" w:beforeAutospacing="0" w:after="0" w:afterAutospacing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0.0972％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  <w:vMerge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vAlign w:val="center"/>
            <w:hideMark/>
          </w:tcPr>
          <w:p w:rsidR="002356DF" w:rsidRPr="002356DF" w:rsidRDefault="002356DF">
            <w:pPr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2356DF" w:rsidRPr="002356DF" w:rsidTr="002356DF">
        <w:trPr>
          <w:trHeight w:val="581"/>
        </w:trPr>
        <w:tc>
          <w:tcPr>
            <w:tcW w:w="496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超過2,500萬元至5,000萬元部分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 w:rsidP="002356DF">
            <w:pPr>
              <w:pStyle w:val="Web"/>
              <w:spacing w:before="0" w:beforeAutospacing="0" w:after="0" w:afterAutospacing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0.081％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  <w:vMerge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vAlign w:val="center"/>
            <w:hideMark/>
          </w:tcPr>
          <w:p w:rsidR="002356DF" w:rsidRPr="002356DF" w:rsidRDefault="002356DF">
            <w:pPr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2356DF" w:rsidRPr="002356DF" w:rsidTr="002356DF">
        <w:trPr>
          <w:trHeight w:val="581"/>
        </w:trPr>
        <w:tc>
          <w:tcPr>
            <w:tcW w:w="496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超過5,000萬元至1億元部分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 w:rsidP="002356DF">
            <w:pPr>
              <w:pStyle w:val="Web"/>
              <w:spacing w:before="0" w:beforeAutospacing="0" w:after="0" w:afterAutospacing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0.0486％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  <w:vMerge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vAlign w:val="center"/>
            <w:hideMark/>
          </w:tcPr>
          <w:p w:rsidR="002356DF" w:rsidRPr="002356DF" w:rsidRDefault="002356DF">
            <w:pPr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2356DF" w:rsidRPr="002356DF" w:rsidTr="002356DF">
        <w:trPr>
          <w:trHeight w:val="581"/>
        </w:trPr>
        <w:tc>
          <w:tcPr>
            <w:tcW w:w="496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超過1億元至5億元部分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 w:rsidP="002356DF">
            <w:pPr>
              <w:pStyle w:val="Web"/>
              <w:spacing w:before="0" w:beforeAutospacing="0" w:after="0" w:afterAutospacing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0.0324％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  <w:vMerge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vAlign w:val="center"/>
            <w:hideMark/>
          </w:tcPr>
          <w:p w:rsidR="002356DF" w:rsidRPr="002356DF" w:rsidRDefault="002356DF">
            <w:pPr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2356DF" w:rsidRPr="002356DF" w:rsidTr="002356DF">
        <w:trPr>
          <w:trHeight w:val="581"/>
        </w:trPr>
        <w:tc>
          <w:tcPr>
            <w:tcW w:w="4961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超過5億元部分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6DF" w:rsidRPr="002356DF" w:rsidRDefault="002356DF" w:rsidP="002356DF">
            <w:pPr>
              <w:pStyle w:val="Web"/>
              <w:spacing w:before="0" w:beforeAutospacing="0" w:after="0" w:afterAutospacing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2356D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0.0162％</w:t>
            </w:r>
            <w:r w:rsidRPr="002356DF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  <w:vMerge/>
            <w:tcBorders>
              <w:top w:val="single" w:sz="6" w:space="0" w:color="39659B"/>
              <w:left w:val="single" w:sz="6" w:space="0" w:color="39659B"/>
              <w:bottom w:val="single" w:sz="6" w:space="0" w:color="39659B"/>
              <w:right w:val="single" w:sz="6" w:space="0" w:color="39659B"/>
            </w:tcBorders>
            <w:vAlign w:val="center"/>
            <w:hideMark/>
          </w:tcPr>
          <w:p w:rsidR="002356DF" w:rsidRPr="002356DF" w:rsidRDefault="002356DF">
            <w:pPr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</w:tbl>
    <w:p w:rsidR="002356DF" w:rsidRPr="002356DF" w:rsidRDefault="002356DF">
      <w:pPr>
        <w:rPr>
          <w:rFonts w:ascii="標楷體" w:eastAsia="標楷體" w:hAnsi="標楷體"/>
        </w:rPr>
      </w:pPr>
    </w:p>
    <w:sectPr w:rsidR="002356DF" w:rsidRPr="002356DF" w:rsidSect="002356DF">
      <w:footerReference w:type="default" r:id="rId7"/>
      <w:pgSz w:w="11906" w:h="16838"/>
      <w:pgMar w:top="1134" w:right="85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8F" w:rsidRDefault="005B258F" w:rsidP="002356DF">
      <w:r>
        <w:separator/>
      </w:r>
    </w:p>
  </w:endnote>
  <w:endnote w:type="continuationSeparator" w:id="0">
    <w:p w:rsidR="005B258F" w:rsidRDefault="005B258F" w:rsidP="0023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458072"/>
      <w:docPartObj>
        <w:docPartGallery w:val="Page Numbers (Bottom of Page)"/>
        <w:docPartUnique/>
      </w:docPartObj>
    </w:sdtPr>
    <w:sdtEndPr/>
    <w:sdtContent>
      <w:p w:rsidR="00CB3168" w:rsidRDefault="00CB3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B1F" w:rsidRPr="00853B1F">
          <w:rPr>
            <w:noProof/>
            <w:lang w:val="zh-TW"/>
          </w:rPr>
          <w:t>1</w:t>
        </w:r>
        <w:r>
          <w:fldChar w:fldCharType="end"/>
        </w:r>
      </w:p>
    </w:sdtContent>
  </w:sdt>
  <w:p w:rsidR="00CB3168" w:rsidRDefault="00CB31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8F" w:rsidRDefault="005B258F" w:rsidP="002356DF">
      <w:r>
        <w:separator/>
      </w:r>
    </w:p>
  </w:footnote>
  <w:footnote w:type="continuationSeparator" w:id="0">
    <w:p w:rsidR="005B258F" w:rsidRDefault="005B258F" w:rsidP="0023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CF1"/>
    <w:rsid w:val="000008E3"/>
    <w:rsid w:val="00005320"/>
    <w:rsid w:val="00005B6A"/>
    <w:rsid w:val="00011193"/>
    <w:rsid w:val="000168FE"/>
    <w:rsid w:val="0002158F"/>
    <w:rsid w:val="000313E7"/>
    <w:rsid w:val="00036D40"/>
    <w:rsid w:val="00042C1F"/>
    <w:rsid w:val="00043CAA"/>
    <w:rsid w:val="0004410A"/>
    <w:rsid w:val="0004728A"/>
    <w:rsid w:val="000535E2"/>
    <w:rsid w:val="00055C64"/>
    <w:rsid w:val="00061CCE"/>
    <w:rsid w:val="00062AA8"/>
    <w:rsid w:val="0006665A"/>
    <w:rsid w:val="00067183"/>
    <w:rsid w:val="00067621"/>
    <w:rsid w:val="000703F8"/>
    <w:rsid w:val="00084187"/>
    <w:rsid w:val="000960F8"/>
    <w:rsid w:val="000A0CA0"/>
    <w:rsid w:val="000A2A83"/>
    <w:rsid w:val="000B2BE2"/>
    <w:rsid w:val="000D2C97"/>
    <w:rsid w:val="000D636A"/>
    <w:rsid w:val="000D771A"/>
    <w:rsid w:val="000E077E"/>
    <w:rsid w:val="000E5422"/>
    <w:rsid w:val="000F186B"/>
    <w:rsid w:val="000F79DA"/>
    <w:rsid w:val="00104987"/>
    <w:rsid w:val="00113282"/>
    <w:rsid w:val="00114B0D"/>
    <w:rsid w:val="00133C4B"/>
    <w:rsid w:val="00134C24"/>
    <w:rsid w:val="00141D02"/>
    <w:rsid w:val="00147A8E"/>
    <w:rsid w:val="00152A5E"/>
    <w:rsid w:val="00152A79"/>
    <w:rsid w:val="00163D7B"/>
    <w:rsid w:val="00165E9B"/>
    <w:rsid w:val="0016602F"/>
    <w:rsid w:val="001719BA"/>
    <w:rsid w:val="0017568F"/>
    <w:rsid w:val="001767AE"/>
    <w:rsid w:val="001912CC"/>
    <w:rsid w:val="001937D8"/>
    <w:rsid w:val="0019576F"/>
    <w:rsid w:val="00197146"/>
    <w:rsid w:val="001A4C47"/>
    <w:rsid w:val="001A6940"/>
    <w:rsid w:val="001A75C7"/>
    <w:rsid w:val="001A7C19"/>
    <w:rsid w:val="001A7EF2"/>
    <w:rsid w:val="001F277A"/>
    <w:rsid w:val="001F6D20"/>
    <w:rsid w:val="002063E1"/>
    <w:rsid w:val="00211BEE"/>
    <w:rsid w:val="002356DF"/>
    <w:rsid w:val="00241A7C"/>
    <w:rsid w:val="00244C3A"/>
    <w:rsid w:val="00246C94"/>
    <w:rsid w:val="00260295"/>
    <w:rsid w:val="0026572B"/>
    <w:rsid w:val="00275552"/>
    <w:rsid w:val="00284034"/>
    <w:rsid w:val="002A102D"/>
    <w:rsid w:val="002A5621"/>
    <w:rsid w:val="002A6C4D"/>
    <w:rsid w:val="002C2725"/>
    <w:rsid w:val="002C6231"/>
    <w:rsid w:val="002E398D"/>
    <w:rsid w:val="002E3BDE"/>
    <w:rsid w:val="002E44AF"/>
    <w:rsid w:val="002F029A"/>
    <w:rsid w:val="002F1F7E"/>
    <w:rsid w:val="002F20F7"/>
    <w:rsid w:val="00302943"/>
    <w:rsid w:val="003036D6"/>
    <w:rsid w:val="003059C7"/>
    <w:rsid w:val="00311961"/>
    <w:rsid w:val="00331538"/>
    <w:rsid w:val="003459E1"/>
    <w:rsid w:val="003546F6"/>
    <w:rsid w:val="003555CC"/>
    <w:rsid w:val="00356070"/>
    <w:rsid w:val="00360907"/>
    <w:rsid w:val="0036243A"/>
    <w:rsid w:val="00371774"/>
    <w:rsid w:val="00380AAB"/>
    <w:rsid w:val="003928C6"/>
    <w:rsid w:val="00394D25"/>
    <w:rsid w:val="003A09E4"/>
    <w:rsid w:val="003A19B3"/>
    <w:rsid w:val="003B6629"/>
    <w:rsid w:val="003C29C6"/>
    <w:rsid w:val="003F543C"/>
    <w:rsid w:val="0040050E"/>
    <w:rsid w:val="00400896"/>
    <w:rsid w:val="00403BFB"/>
    <w:rsid w:val="00414D59"/>
    <w:rsid w:val="00417FEB"/>
    <w:rsid w:val="0044530B"/>
    <w:rsid w:val="00450549"/>
    <w:rsid w:val="004520EC"/>
    <w:rsid w:val="00453FB0"/>
    <w:rsid w:val="0046611E"/>
    <w:rsid w:val="00466917"/>
    <w:rsid w:val="00470498"/>
    <w:rsid w:val="004739A1"/>
    <w:rsid w:val="00476E42"/>
    <w:rsid w:val="00485C7B"/>
    <w:rsid w:val="0049251C"/>
    <w:rsid w:val="004A0B0D"/>
    <w:rsid w:val="004A425B"/>
    <w:rsid w:val="004A4E1B"/>
    <w:rsid w:val="004B0B13"/>
    <w:rsid w:val="004B5203"/>
    <w:rsid w:val="004C18BA"/>
    <w:rsid w:val="004C5C4F"/>
    <w:rsid w:val="004D0E94"/>
    <w:rsid w:val="004D75B3"/>
    <w:rsid w:val="004E466F"/>
    <w:rsid w:val="004F2D09"/>
    <w:rsid w:val="0050175E"/>
    <w:rsid w:val="00530B5C"/>
    <w:rsid w:val="00537C62"/>
    <w:rsid w:val="0055167F"/>
    <w:rsid w:val="005544EF"/>
    <w:rsid w:val="00563A27"/>
    <w:rsid w:val="00566113"/>
    <w:rsid w:val="00583986"/>
    <w:rsid w:val="005A0C3E"/>
    <w:rsid w:val="005A1AFE"/>
    <w:rsid w:val="005A3175"/>
    <w:rsid w:val="005B1908"/>
    <w:rsid w:val="005B258F"/>
    <w:rsid w:val="005B56EA"/>
    <w:rsid w:val="005C78E3"/>
    <w:rsid w:val="005D187B"/>
    <w:rsid w:val="005D5913"/>
    <w:rsid w:val="005E5583"/>
    <w:rsid w:val="005F17ED"/>
    <w:rsid w:val="00600895"/>
    <w:rsid w:val="00602EF4"/>
    <w:rsid w:val="00614621"/>
    <w:rsid w:val="00616E67"/>
    <w:rsid w:val="00626E52"/>
    <w:rsid w:val="006371E7"/>
    <w:rsid w:val="00652263"/>
    <w:rsid w:val="00653FB4"/>
    <w:rsid w:val="00661E4A"/>
    <w:rsid w:val="00665156"/>
    <w:rsid w:val="00666C5F"/>
    <w:rsid w:val="00672FBA"/>
    <w:rsid w:val="00676AE8"/>
    <w:rsid w:val="00680E1D"/>
    <w:rsid w:val="00690B65"/>
    <w:rsid w:val="0069388A"/>
    <w:rsid w:val="006A5E4D"/>
    <w:rsid w:val="006B1792"/>
    <w:rsid w:val="006B37C3"/>
    <w:rsid w:val="006B4F90"/>
    <w:rsid w:val="006B6DAD"/>
    <w:rsid w:val="006C3E6A"/>
    <w:rsid w:val="006C65E6"/>
    <w:rsid w:val="006E25C6"/>
    <w:rsid w:val="006E40F3"/>
    <w:rsid w:val="006E4108"/>
    <w:rsid w:val="006F15CA"/>
    <w:rsid w:val="006F1E34"/>
    <w:rsid w:val="006F237E"/>
    <w:rsid w:val="006F707E"/>
    <w:rsid w:val="006F71A9"/>
    <w:rsid w:val="00701422"/>
    <w:rsid w:val="007045EB"/>
    <w:rsid w:val="00705717"/>
    <w:rsid w:val="007212E5"/>
    <w:rsid w:val="007407BA"/>
    <w:rsid w:val="007467FE"/>
    <w:rsid w:val="00747E1C"/>
    <w:rsid w:val="007511F9"/>
    <w:rsid w:val="00771705"/>
    <w:rsid w:val="0078279C"/>
    <w:rsid w:val="00784A3D"/>
    <w:rsid w:val="00791CA6"/>
    <w:rsid w:val="007A02E9"/>
    <w:rsid w:val="007A20E0"/>
    <w:rsid w:val="007A2E86"/>
    <w:rsid w:val="007A7BB6"/>
    <w:rsid w:val="007A7C0B"/>
    <w:rsid w:val="007B6BCA"/>
    <w:rsid w:val="007C2387"/>
    <w:rsid w:val="007D29CE"/>
    <w:rsid w:val="007D444F"/>
    <w:rsid w:val="007E0012"/>
    <w:rsid w:val="007F1B2B"/>
    <w:rsid w:val="007F2B28"/>
    <w:rsid w:val="007F4A3B"/>
    <w:rsid w:val="007F54D2"/>
    <w:rsid w:val="0080728B"/>
    <w:rsid w:val="00812704"/>
    <w:rsid w:val="0081354B"/>
    <w:rsid w:val="0083146C"/>
    <w:rsid w:val="00836B94"/>
    <w:rsid w:val="00842DFE"/>
    <w:rsid w:val="00844B61"/>
    <w:rsid w:val="00846674"/>
    <w:rsid w:val="00853B1F"/>
    <w:rsid w:val="00872C70"/>
    <w:rsid w:val="008835A2"/>
    <w:rsid w:val="00883BFA"/>
    <w:rsid w:val="008840BE"/>
    <w:rsid w:val="00887BAE"/>
    <w:rsid w:val="00893CA1"/>
    <w:rsid w:val="008B196D"/>
    <w:rsid w:val="008B3B1A"/>
    <w:rsid w:val="008B5DB6"/>
    <w:rsid w:val="008B6FFD"/>
    <w:rsid w:val="008C3760"/>
    <w:rsid w:val="008C515B"/>
    <w:rsid w:val="008D212F"/>
    <w:rsid w:val="008D22B2"/>
    <w:rsid w:val="008D3FE3"/>
    <w:rsid w:val="008E2BE8"/>
    <w:rsid w:val="008F0BD2"/>
    <w:rsid w:val="00914DA8"/>
    <w:rsid w:val="00926652"/>
    <w:rsid w:val="00933C67"/>
    <w:rsid w:val="009410AD"/>
    <w:rsid w:val="0094428E"/>
    <w:rsid w:val="00944DA2"/>
    <w:rsid w:val="0095546E"/>
    <w:rsid w:val="009555DD"/>
    <w:rsid w:val="009572E0"/>
    <w:rsid w:val="009708C6"/>
    <w:rsid w:val="00975D6A"/>
    <w:rsid w:val="0098636E"/>
    <w:rsid w:val="009977A4"/>
    <w:rsid w:val="009A2156"/>
    <w:rsid w:val="009A3266"/>
    <w:rsid w:val="009A4121"/>
    <w:rsid w:val="009B4044"/>
    <w:rsid w:val="009B45CF"/>
    <w:rsid w:val="009C2D12"/>
    <w:rsid w:val="009C4018"/>
    <w:rsid w:val="009C5444"/>
    <w:rsid w:val="009C5D8F"/>
    <w:rsid w:val="009D5243"/>
    <w:rsid w:val="009D6099"/>
    <w:rsid w:val="009E1947"/>
    <w:rsid w:val="009E4392"/>
    <w:rsid w:val="009F3629"/>
    <w:rsid w:val="009F452A"/>
    <w:rsid w:val="00A05410"/>
    <w:rsid w:val="00A06C1C"/>
    <w:rsid w:val="00A12DA7"/>
    <w:rsid w:val="00A13539"/>
    <w:rsid w:val="00A1561B"/>
    <w:rsid w:val="00A31BFB"/>
    <w:rsid w:val="00A32BCE"/>
    <w:rsid w:val="00A40FE9"/>
    <w:rsid w:val="00A45264"/>
    <w:rsid w:val="00A5105F"/>
    <w:rsid w:val="00A51DDB"/>
    <w:rsid w:val="00A61AB1"/>
    <w:rsid w:val="00A64771"/>
    <w:rsid w:val="00A718C7"/>
    <w:rsid w:val="00A7309E"/>
    <w:rsid w:val="00A93055"/>
    <w:rsid w:val="00A95312"/>
    <w:rsid w:val="00AB28BD"/>
    <w:rsid w:val="00AB4BD8"/>
    <w:rsid w:val="00AB6742"/>
    <w:rsid w:val="00AB6811"/>
    <w:rsid w:val="00AC1180"/>
    <w:rsid w:val="00AC7A96"/>
    <w:rsid w:val="00AD14DE"/>
    <w:rsid w:val="00AD6636"/>
    <w:rsid w:val="00AE717E"/>
    <w:rsid w:val="00AF3960"/>
    <w:rsid w:val="00AF6E11"/>
    <w:rsid w:val="00B043D5"/>
    <w:rsid w:val="00B178FA"/>
    <w:rsid w:val="00B2074D"/>
    <w:rsid w:val="00B23AC1"/>
    <w:rsid w:val="00B23F0E"/>
    <w:rsid w:val="00B324CB"/>
    <w:rsid w:val="00B47276"/>
    <w:rsid w:val="00B52FF4"/>
    <w:rsid w:val="00B656CA"/>
    <w:rsid w:val="00B66E09"/>
    <w:rsid w:val="00B904A6"/>
    <w:rsid w:val="00B92DA9"/>
    <w:rsid w:val="00B92E8E"/>
    <w:rsid w:val="00B935FC"/>
    <w:rsid w:val="00BA2711"/>
    <w:rsid w:val="00BA581B"/>
    <w:rsid w:val="00BC2412"/>
    <w:rsid w:val="00BC3674"/>
    <w:rsid w:val="00BC4A2F"/>
    <w:rsid w:val="00BD0CE3"/>
    <w:rsid w:val="00BD1FDB"/>
    <w:rsid w:val="00BD2611"/>
    <w:rsid w:val="00BD2A50"/>
    <w:rsid w:val="00BE40D7"/>
    <w:rsid w:val="00BF07BB"/>
    <w:rsid w:val="00BF718C"/>
    <w:rsid w:val="00C004CB"/>
    <w:rsid w:val="00C0175A"/>
    <w:rsid w:val="00C01938"/>
    <w:rsid w:val="00C06115"/>
    <w:rsid w:val="00C063A0"/>
    <w:rsid w:val="00C212AC"/>
    <w:rsid w:val="00C30819"/>
    <w:rsid w:val="00C354D4"/>
    <w:rsid w:val="00C45007"/>
    <w:rsid w:val="00C46FB9"/>
    <w:rsid w:val="00C52446"/>
    <w:rsid w:val="00C61937"/>
    <w:rsid w:val="00C7299D"/>
    <w:rsid w:val="00C730A5"/>
    <w:rsid w:val="00C731FF"/>
    <w:rsid w:val="00C74594"/>
    <w:rsid w:val="00C7575D"/>
    <w:rsid w:val="00C817B8"/>
    <w:rsid w:val="00C82DB2"/>
    <w:rsid w:val="00C935AB"/>
    <w:rsid w:val="00CA1662"/>
    <w:rsid w:val="00CA4B0E"/>
    <w:rsid w:val="00CA5106"/>
    <w:rsid w:val="00CA7A2F"/>
    <w:rsid w:val="00CB0DD1"/>
    <w:rsid w:val="00CB3168"/>
    <w:rsid w:val="00CC2B48"/>
    <w:rsid w:val="00CC3A11"/>
    <w:rsid w:val="00CC5B41"/>
    <w:rsid w:val="00CC6B88"/>
    <w:rsid w:val="00CD27DB"/>
    <w:rsid w:val="00CD46F0"/>
    <w:rsid w:val="00CE272E"/>
    <w:rsid w:val="00D0677B"/>
    <w:rsid w:val="00D13D5B"/>
    <w:rsid w:val="00D14A7C"/>
    <w:rsid w:val="00D30EE9"/>
    <w:rsid w:val="00D40560"/>
    <w:rsid w:val="00D4485C"/>
    <w:rsid w:val="00D44F31"/>
    <w:rsid w:val="00D45929"/>
    <w:rsid w:val="00D53CC1"/>
    <w:rsid w:val="00D57B10"/>
    <w:rsid w:val="00D609E8"/>
    <w:rsid w:val="00D60FEE"/>
    <w:rsid w:val="00D62787"/>
    <w:rsid w:val="00D67A8F"/>
    <w:rsid w:val="00D71F87"/>
    <w:rsid w:val="00D73707"/>
    <w:rsid w:val="00D82578"/>
    <w:rsid w:val="00D85381"/>
    <w:rsid w:val="00D947FF"/>
    <w:rsid w:val="00D94878"/>
    <w:rsid w:val="00D96DD3"/>
    <w:rsid w:val="00D9745E"/>
    <w:rsid w:val="00DA0526"/>
    <w:rsid w:val="00DB2028"/>
    <w:rsid w:val="00DB338C"/>
    <w:rsid w:val="00DB33E8"/>
    <w:rsid w:val="00DD3155"/>
    <w:rsid w:val="00DD6A8F"/>
    <w:rsid w:val="00DE18FF"/>
    <w:rsid w:val="00DE2776"/>
    <w:rsid w:val="00DF534D"/>
    <w:rsid w:val="00E0109C"/>
    <w:rsid w:val="00E01FD0"/>
    <w:rsid w:val="00E0481D"/>
    <w:rsid w:val="00E07EF0"/>
    <w:rsid w:val="00E153EB"/>
    <w:rsid w:val="00E17CB7"/>
    <w:rsid w:val="00E302E4"/>
    <w:rsid w:val="00E378AB"/>
    <w:rsid w:val="00E60299"/>
    <w:rsid w:val="00E61AD0"/>
    <w:rsid w:val="00E73CF1"/>
    <w:rsid w:val="00E7737D"/>
    <w:rsid w:val="00E86D49"/>
    <w:rsid w:val="00E90FB6"/>
    <w:rsid w:val="00E96160"/>
    <w:rsid w:val="00E9744F"/>
    <w:rsid w:val="00EA49AA"/>
    <w:rsid w:val="00EB153D"/>
    <w:rsid w:val="00EB1BA1"/>
    <w:rsid w:val="00EB297C"/>
    <w:rsid w:val="00EC12FC"/>
    <w:rsid w:val="00EC29F1"/>
    <w:rsid w:val="00EC60C4"/>
    <w:rsid w:val="00EC6700"/>
    <w:rsid w:val="00EC6F50"/>
    <w:rsid w:val="00EE070F"/>
    <w:rsid w:val="00EF1160"/>
    <w:rsid w:val="00EF2EB3"/>
    <w:rsid w:val="00EF74E1"/>
    <w:rsid w:val="00F0566F"/>
    <w:rsid w:val="00F22922"/>
    <w:rsid w:val="00F261B5"/>
    <w:rsid w:val="00F32B7F"/>
    <w:rsid w:val="00F34978"/>
    <w:rsid w:val="00F56A19"/>
    <w:rsid w:val="00F60E43"/>
    <w:rsid w:val="00F72117"/>
    <w:rsid w:val="00F9090D"/>
    <w:rsid w:val="00F923C3"/>
    <w:rsid w:val="00F96C7F"/>
    <w:rsid w:val="00F9750A"/>
    <w:rsid w:val="00FB3A10"/>
    <w:rsid w:val="00FB4C05"/>
    <w:rsid w:val="00FC02CD"/>
    <w:rsid w:val="00FC497F"/>
    <w:rsid w:val="00FC68C6"/>
    <w:rsid w:val="00FD1685"/>
    <w:rsid w:val="00FE04C8"/>
    <w:rsid w:val="00FE0BB0"/>
    <w:rsid w:val="00FE2AAC"/>
    <w:rsid w:val="00FE62E3"/>
    <w:rsid w:val="00FF2A30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73C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3">
    <w:name w:val="header"/>
    <w:basedOn w:val="a"/>
    <w:link w:val="a4"/>
    <w:rsid w:val="0023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356DF"/>
    <w:rPr>
      <w:kern w:val="2"/>
    </w:rPr>
  </w:style>
  <w:style w:type="paragraph" w:styleId="a5">
    <w:name w:val="footer"/>
    <w:basedOn w:val="a"/>
    <w:link w:val="a6"/>
    <w:uiPriority w:val="99"/>
    <w:rsid w:val="00235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6DF"/>
    <w:rPr>
      <w:kern w:val="2"/>
    </w:rPr>
  </w:style>
  <w:style w:type="paragraph" w:styleId="Web">
    <w:name w:val="Normal (Web)"/>
    <w:basedOn w:val="a"/>
    <w:uiPriority w:val="99"/>
    <w:unhideWhenUsed/>
    <w:rsid w:val="002356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98</Characters>
  <Application>Microsoft Office Word</Application>
  <DocSecurity>0</DocSecurity>
  <Lines>1</Lines>
  <Paragraphs>1</Paragraphs>
  <ScaleCrop>false</ScaleCrop>
  <Company>TPC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新北市政府採購處代辦法人團體採購範圍、收費要點</dc:title>
  <dc:subject/>
  <dc:creator>User</dc:creator>
  <cp:keywords/>
  <dc:description/>
  <cp:lastModifiedBy>User</cp:lastModifiedBy>
  <cp:revision>6</cp:revision>
  <cp:lastPrinted>2011-02-22T02:58:00Z</cp:lastPrinted>
  <dcterms:created xsi:type="dcterms:W3CDTF">2015-02-14T17:23:00Z</dcterms:created>
  <dcterms:modified xsi:type="dcterms:W3CDTF">2015-02-16T08:43:00Z</dcterms:modified>
</cp:coreProperties>
</file>