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89" w:rsidRDefault="00FA3589" w:rsidP="00FA3589">
      <w:pPr>
        <w:jc w:val="center"/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</w:pPr>
      <w:r w:rsidRPr="00D906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臺北市政府遏止新增違章建築處理措施</w:t>
      </w:r>
    </w:p>
    <w:p w:rsidR="006D3A8E" w:rsidRPr="00FA3589" w:rsidRDefault="006D3A8E" w:rsidP="00785B0E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F3534B" w:rsidRPr="00FA3589" w:rsidRDefault="00FA3589" w:rsidP="00FA358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臺北市政府為維護公共安全、保障消費者權益、減少交易糾紛，並健全建築管理，特訂定本措施。</w:t>
      </w:r>
    </w:p>
    <w:p w:rsidR="00FA3589" w:rsidRPr="00FA3589" w:rsidRDefault="00FA3589" w:rsidP="00FA3589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民國</w:t>
      </w:r>
      <w:proofErr w:type="gramStart"/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一○四年九月一日起領得</w:t>
      </w:r>
      <w:proofErr w:type="gramEnd"/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使用執照之建築物</w:t>
      </w:r>
      <w:bookmarkStart w:id="0" w:name="_GoBack"/>
      <w:bookmarkEnd w:id="0"/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，起造人或所有權人於申辦建物所有權第一次登記，或因買賣、交換、贈與、信託辦理所有權移轉登記時，得檢附開業建築師出具三個月內有效之建築物無違章建築證明。</w:t>
      </w:r>
    </w:p>
    <w:p w:rsidR="00FA3589" w:rsidRPr="00FA3589" w:rsidRDefault="00FA3589" w:rsidP="00FA3589">
      <w:pPr>
        <w:pStyle w:val="a3"/>
        <w:widowControl/>
        <w:adjustRightInd w:val="0"/>
        <w:snapToGrid w:val="0"/>
        <w:spacing w:line="480" w:lineRule="exact"/>
        <w:ind w:leftChars="0" w:left="720"/>
        <w:jc w:val="both"/>
        <w:rPr>
          <w:rFonts w:ascii="標楷體" w:eastAsia="標楷體" w:hAnsi="標楷體" w:cs="Times New Roman"/>
          <w:color w:val="000000"/>
          <w:spacing w:val="15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前項申請案件未檢附開業建築師出具之前項證明，臺北市各地政事務所(以下簡稱地所)應於登記完畢後一日內通報臺北市政府都市發展局(以下簡稱都發局)依法查察。</w:t>
      </w:r>
    </w:p>
    <w:p w:rsidR="00FA3589" w:rsidRPr="00FA3589" w:rsidRDefault="00FA3589" w:rsidP="00FA358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開業</w:t>
      </w:r>
      <w:proofErr w:type="gramStart"/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建築師受起造</w:t>
      </w:r>
      <w:proofErr w:type="gramEnd"/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人或建築物所有權人委託出具建築物無違章建築證明時，應依使用執照竣工圖，針對建築物專有部分及約定專用部分進行比對，有下列情形之</w:t>
      </w:r>
      <w:proofErr w:type="gramStart"/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者，應不予出具：</w:t>
      </w:r>
    </w:p>
    <w:p w:rsidR="00FA3589" w:rsidRPr="00FA3589" w:rsidRDefault="00FA3589" w:rsidP="00FA3589">
      <w:pPr>
        <w:pStyle w:val="a3"/>
        <w:numPr>
          <w:ilvl w:val="1"/>
          <w:numId w:val="12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陽台外牆拆除外推。</w:t>
      </w:r>
    </w:p>
    <w:p w:rsidR="00FA3589" w:rsidRPr="00FA3589" w:rsidRDefault="00FA3589" w:rsidP="00FA3589">
      <w:pPr>
        <w:pStyle w:val="a3"/>
        <w:numPr>
          <w:ilvl w:val="1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陽台</w:t>
      </w:r>
      <w:proofErr w:type="gramStart"/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加窗或欄</w:t>
      </w:r>
      <w:proofErr w:type="gramEnd"/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柵式防盜窗(</w:t>
      </w:r>
      <w:proofErr w:type="gramStart"/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防墜設施</w:t>
      </w:r>
      <w:proofErr w:type="gramEnd"/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除外)</w:t>
      </w: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。</w:t>
      </w:r>
    </w:p>
    <w:p w:rsidR="00FA3589" w:rsidRPr="00FA3589" w:rsidRDefault="00FA3589" w:rsidP="00FA3589">
      <w:pPr>
        <w:pStyle w:val="a3"/>
        <w:numPr>
          <w:ilvl w:val="1"/>
          <w:numId w:val="12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夾層</w:t>
      </w: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違章建築</w:t>
      </w: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FA3589" w:rsidRPr="00FA3589" w:rsidRDefault="00FA3589" w:rsidP="00FA3589">
      <w:pPr>
        <w:pStyle w:val="a3"/>
        <w:numPr>
          <w:ilvl w:val="1"/>
          <w:numId w:val="12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水平或垂直增建之</w:t>
      </w: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違章建築</w:t>
      </w: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FA3589" w:rsidRPr="00FA3589" w:rsidRDefault="00FA3589" w:rsidP="00FA3589">
      <w:pPr>
        <w:pStyle w:val="a3"/>
        <w:numPr>
          <w:ilvl w:val="1"/>
          <w:numId w:val="12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約定專用之露</w:t>
      </w:r>
      <w:proofErr w:type="gramStart"/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臺</w:t>
      </w:r>
      <w:proofErr w:type="gramEnd"/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違章建築</w:t>
      </w: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FA3589" w:rsidRPr="00FA3589" w:rsidRDefault="00FA3589" w:rsidP="00FA3589">
      <w:pPr>
        <w:pStyle w:val="a3"/>
        <w:spacing w:line="48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建築師就屋頂及法定空地與竣工圖比對有</w:t>
      </w: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違章建築</w:t>
      </w: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時，並協助通報都發局查處。</w:t>
      </w:r>
    </w:p>
    <w:p w:rsidR="00FA3589" w:rsidRPr="00FA3589" w:rsidRDefault="00FA3589" w:rsidP="00FA358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都發局應於使用執照注意事項附表註記第二點規定事項</w:t>
      </w: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。</w:t>
      </w:r>
    </w:p>
    <w:p w:rsidR="00FA3589" w:rsidRPr="00FA3589" w:rsidRDefault="00FA3589" w:rsidP="00FA3589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地所應配合於登記簿建物標示部其他登記事項欄加</w:t>
      </w:r>
      <w:proofErr w:type="gramStart"/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註</w:t>
      </w:r>
      <w:proofErr w:type="gramEnd"/>
      <w:r w:rsidRPr="00FA3589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</w:rPr>
        <w:t>：</w:t>
      </w:r>
      <w:r w:rsidRPr="00FA3589">
        <w:rPr>
          <w:rFonts w:ascii="標楷體" w:eastAsia="標楷體" w:hAnsi="標楷體" w:cs="Arial" w:hint="eastAsia"/>
          <w:color w:val="000000"/>
          <w:kern w:val="24"/>
          <w:sz w:val="28"/>
          <w:szCs w:val="28"/>
        </w:rPr>
        <w:t>「嗣後建築物所有權人於因買賣、交換、贈與、信託辦理所有權移轉登記時，得檢附開業建築師出具三個月內有效之建築物無</w:t>
      </w:r>
      <w:r w:rsidRPr="00FA3589">
        <w:rPr>
          <w:rFonts w:ascii="標楷體" w:eastAsia="標楷體" w:hAnsi="標楷體" w:cs="Times New Roman" w:hint="eastAsia"/>
          <w:color w:val="000000"/>
          <w:sz w:val="28"/>
          <w:szCs w:val="28"/>
        </w:rPr>
        <w:t>違章建築</w:t>
      </w:r>
      <w:r w:rsidRPr="00FA3589">
        <w:rPr>
          <w:rFonts w:ascii="標楷體" w:eastAsia="標楷體" w:hAnsi="標楷體" w:cs="Arial" w:hint="eastAsia"/>
          <w:color w:val="000000"/>
          <w:kern w:val="24"/>
          <w:sz w:val="28"/>
          <w:szCs w:val="28"/>
        </w:rPr>
        <w:t>證明。」</w:t>
      </w:r>
      <w:r w:rsidRPr="00FA3589">
        <w:rPr>
          <w:rFonts w:ascii="標楷體" w:eastAsia="標楷體" w:hAnsi="標楷體" w:cs="Times New Roman" w:hint="eastAsia"/>
          <w:spacing w:val="15"/>
          <w:sz w:val="28"/>
          <w:szCs w:val="28"/>
        </w:rPr>
        <w:t>。</w:t>
      </w:r>
    </w:p>
    <w:p w:rsidR="00FA3589" w:rsidRPr="00111B87" w:rsidRDefault="00FA3589" w:rsidP="00FA3589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FA3589" w:rsidRPr="00111B87" w:rsidSect="00785B0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69" w:rsidRDefault="00520869" w:rsidP="00D11C4E">
      <w:r>
        <w:separator/>
      </w:r>
    </w:p>
  </w:endnote>
  <w:endnote w:type="continuationSeparator" w:id="0">
    <w:p w:rsidR="00520869" w:rsidRDefault="00520869" w:rsidP="00D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69" w:rsidRDefault="00520869" w:rsidP="00D11C4E">
      <w:r>
        <w:separator/>
      </w:r>
    </w:p>
  </w:footnote>
  <w:footnote w:type="continuationSeparator" w:id="0">
    <w:p w:rsidR="00520869" w:rsidRDefault="00520869" w:rsidP="00D1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242"/>
    <w:multiLevelType w:val="hybridMultilevel"/>
    <w:tmpl w:val="672A27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D4285D0">
      <w:start w:val="1"/>
      <w:numFmt w:val="taiwaneseCountingThousand"/>
      <w:lvlText w:val="（%2）"/>
      <w:lvlJc w:val="left"/>
      <w:pPr>
        <w:tabs>
          <w:tab w:val="num" w:pos="1047"/>
        </w:tabs>
        <w:ind w:left="1444" w:hanging="964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F0AE76">
      <w:start w:val="1"/>
      <w:numFmt w:val="decimal"/>
      <w:lvlText w:val="%4."/>
      <w:lvlJc w:val="left"/>
      <w:pPr>
        <w:ind w:left="1860" w:hanging="420"/>
      </w:pPr>
      <w:rPr>
        <w:rFonts w:cs="細明體"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0A1E7F"/>
    <w:multiLevelType w:val="hybridMultilevel"/>
    <w:tmpl w:val="F0E2AB86"/>
    <w:lvl w:ilvl="0" w:tplc="E7426E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CB76F448">
      <w:start w:val="1"/>
      <w:numFmt w:val="taiwaneseCountingThousand"/>
      <w:lvlText w:val="（%2）"/>
      <w:lvlJc w:val="left"/>
      <w:pPr>
        <w:tabs>
          <w:tab w:val="num" w:pos="1047"/>
        </w:tabs>
        <w:ind w:left="1444" w:hanging="9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A3031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21253EBF"/>
    <w:multiLevelType w:val="multilevel"/>
    <w:tmpl w:val="FB28D740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304A4B1E"/>
    <w:multiLevelType w:val="hybridMultilevel"/>
    <w:tmpl w:val="7C1E09B2"/>
    <w:lvl w:ilvl="0" w:tplc="429C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FF652F"/>
    <w:multiLevelType w:val="hybridMultilevel"/>
    <w:tmpl w:val="EC5C3F90"/>
    <w:lvl w:ilvl="0" w:tplc="E564E470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425AEF58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9184123E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E4C6CC0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996ADDC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802A186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F9724400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2D70ABF4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4E86D90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D362C"/>
    <w:multiLevelType w:val="hybridMultilevel"/>
    <w:tmpl w:val="3FD43454"/>
    <w:lvl w:ilvl="0" w:tplc="6376386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0B62B5"/>
    <w:multiLevelType w:val="multilevel"/>
    <w:tmpl w:val="BDCCACCE"/>
    <w:lvl w:ilvl="0">
      <w:start w:val="1"/>
      <w:numFmt w:val="taiwaneseCountingThousand"/>
      <w:lvlText w:val="%1、"/>
      <w:lvlJc w:val="left"/>
      <w:pPr>
        <w:ind w:left="2640" w:hanging="720"/>
      </w:pPr>
      <w:rPr>
        <w:rFonts w:cstheme="minorBidi" w:hint="default"/>
        <w:color w:val="auto"/>
      </w:rPr>
    </w:lvl>
    <w:lvl w:ilvl="1">
      <w:start w:val="1"/>
      <w:numFmt w:val="taiwaneseCountingThousand"/>
      <w:lvlRestart w:val="0"/>
      <w:lvlText w:val="(%2)"/>
      <w:lvlJc w:val="left"/>
      <w:pPr>
        <w:ind w:left="288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ind w:left="33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8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3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2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7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240" w:hanging="480"/>
      </w:pPr>
      <w:rPr>
        <w:rFonts w:hint="eastAsia"/>
      </w:rPr>
    </w:lvl>
  </w:abstractNum>
  <w:abstractNum w:abstractNumId="8">
    <w:nsid w:val="5D3D2F3D"/>
    <w:multiLevelType w:val="multilevel"/>
    <w:tmpl w:val="4F9EB0C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61151EA0"/>
    <w:multiLevelType w:val="multilevel"/>
    <w:tmpl w:val="3AA0963C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>
      <w:start w:val="1"/>
      <w:numFmt w:val="taiwaneseCountingThousand"/>
      <w:lvlRestart w:val="0"/>
      <w:lvlText w:val="%2(一)"/>
      <w:lvlJc w:val="left"/>
      <w:pPr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8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cstheme="minorBidi" w:hint="default"/>
          <w:color w:val="auto"/>
        </w:rPr>
      </w:lvl>
    </w:lvlOverride>
    <w:lvlOverride w:ilvl="1">
      <w:lvl w:ilvl="1">
        <w:start w:val="1"/>
        <w:numFmt w:val="taiwaneseCountingThousand"/>
        <w:suff w:val="space"/>
        <w:lvlText w:val="(%2)"/>
        <w:lvlJc w:val="left"/>
        <w:pPr>
          <w:ind w:left="960" w:hanging="480"/>
        </w:pPr>
        <w:rPr>
          <w:rFonts w:eastAsia="標楷體"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2">
    <w:abstractNumId w:val="8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cstheme="minorBidi" w:hint="default"/>
          <w:color w:val="auto"/>
        </w:rPr>
      </w:lvl>
    </w:lvlOverride>
    <w:lvlOverride w:ilvl="1">
      <w:lvl w:ilvl="1">
        <w:start w:val="1"/>
        <w:numFmt w:val="taiwaneseCountingThousand"/>
        <w:suff w:val="space"/>
        <w:lvlText w:val="(%2)"/>
        <w:lvlJc w:val="left"/>
        <w:pPr>
          <w:ind w:left="960" w:hanging="480"/>
        </w:pPr>
        <w:rPr>
          <w:rFonts w:eastAsia="標楷體"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0E"/>
    <w:rsid w:val="000026EF"/>
    <w:rsid w:val="000066BF"/>
    <w:rsid w:val="000164F4"/>
    <w:rsid w:val="000F50BD"/>
    <w:rsid w:val="00111B87"/>
    <w:rsid w:val="00141A61"/>
    <w:rsid w:val="00183284"/>
    <w:rsid w:val="001B38DE"/>
    <w:rsid w:val="00204814"/>
    <w:rsid w:val="002A4645"/>
    <w:rsid w:val="002B60CA"/>
    <w:rsid w:val="002C15E0"/>
    <w:rsid w:val="002C1B0B"/>
    <w:rsid w:val="002F40FA"/>
    <w:rsid w:val="00311750"/>
    <w:rsid w:val="004455C5"/>
    <w:rsid w:val="004B559C"/>
    <w:rsid w:val="004D1CEE"/>
    <w:rsid w:val="004F40E7"/>
    <w:rsid w:val="005003E4"/>
    <w:rsid w:val="005162DD"/>
    <w:rsid w:val="00520869"/>
    <w:rsid w:val="0054396E"/>
    <w:rsid w:val="00597E23"/>
    <w:rsid w:val="005A5DCF"/>
    <w:rsid w:val="005F59A4"/>
    <w:rsid w:val="00651B0E"/>
    <w:rsid w:val="006C3DDE"/>
    <w:rsid w:val="006C762A"/>
    <w:rsid w:val="006D3A8E"/>
    <w:rsid w:val="006F6328"/>
    <w:rsid w:val="00731565"/>
    <w:rsid w:val="007543B4"/>
    <w:rsid w:val="0075682D"/>
    <w:rsid w:val="007704F9"/>
    <w:rsid w:val="00781FC7"/>
    <w:rsid w:val="00785B0E"/>
    <w:rsid w:val="007E2DC4"/>
    <w:rsid w:val="00820392"/>
    <w:rsid w:val="0082264D"/>
    <w:rsid w:val="00857585"/>
    <w:rsid w:val="008B3EB3"/>
    <w:rsid w:val="0091190E"/>
    <w:rsid w:val="009E0CCD"/>
    <w:rsid w:val="00AA3D29"/>
    <w:rsid w:val="00B12C0F"/>
    <w:rsid w:val="00C4376B"/>
    <w:rsid w:val="00C444A8"/>
    <w:rsid w:val="00C532D2"/>
    <w:rsid w:val="00C7091B"/>
    <w:rsid w:val="00D11C4E"/>
    <w:rsid w:val="00D15E71"/>
    <w:rsid w:val="00DB4E56"/>
    <w:rsid w:val="00E00583"/>
    <w:rsid w:val="00EB0FA3"/>
    <w:rsid w:val="00EE56AA"/>
    <w:rsid w:val="00EE590B"/>
    <w:rsid w:val="00F3534B"/>
    <w:rsid w:val="00F86939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C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C4E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11C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11C4E"/>
    <w:rPr>
      <w:rFonts w:ascii="細明體" w:eastAsia="細明體" w:hAnsi="細明體" w:cs="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C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C4E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11C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11C4E"/>
    <w:rPr>
      <w:rFonts w:ascii="細明體" w:eastAsia="細明體" w:hAnsi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</dc:creator>
  <cp:lastModifiedBy>TCG</cp:lastModifiedBy>
  <cp:revision>2</cp:revision>
  <cp:lastPrinted>2015-08-18T01:28:00Z</cp:lastPrinted>
  <dcterms:created xsi:type="dcterms:W3CDTF">2015-08-20T03:58:00Z</dcterms:created>
  <dcterms:modified xsi:type="dcterms:W3CDTF">2015-08-20T03:58:00Z</dcterms:modified>
</cp:coreProperties>
</file>