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E" w:rsidRDefault="00FB1D6F">
      <w:pPr>
        <w:pStyle w:val="Standard"/>
        <w:widowControl w:val="0"/>
        <w:spacing w:line="360" w:lineRule="auto"/>
        <w:jc w:val="center"/>
        <w:rPr>
          <w:rFonts w:ascii="標楷體" w:eastAsia="標楷體" w:hAnsi="標楷體"/>
          <w:color w:val="000000"/>
          <w:w w:val="93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w w:val="93"/>
          <w:sz w:val="40"/>
          <w:szCs w:val="40"/>
        </w:rPr>
        <w:t>遺產及贈與稅電子申辦作業要點修正規定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</w:pP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十一、遺產稅納稅義務人或受任人查詢被繼承人財產參考資料，悉依遺產稅納稅義務人查詢被繼承人財產參考資料作業要點辦理，僅供辦理遺產稅電子申辦之參考。納稅義務人或受任人應檢核財產參考資料，依被繼承人死亡時之財產數量及價額按實申報；被繼承人如遺有財產參考資料以外之其他財產，仍應依法一併申報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十二、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透過網際網路傳輸申辦資料時，若各欄位輸入皆正確，經電子申辦系統檢核無誤且申辦上傳成功者，系統自動給予收件編號；若檢核有誤者，申辦系統將產生異常訊息，申辦人更正資料後，可重新傳輸。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 xml:space="preserve">      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 xml:space="preserve">          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同日透過網際網路重新傳輸申辦資料者，第二次以後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(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含第二次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)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申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辦上傳成功，將覆蓋前次申辦資料；翌日起須辦理更正者，納稅義務人或受任人應以人工填報更正資料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，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向戶籍所在地國稅局所屬分局、稽徵所、服務處申請更正。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ascii="標楷體" w:eastAsia="標楷體" w:hAnsi="標楷體" w:cs="Book Antiqua"/>
          <w:color w:val="000000"/>
          <w:spacing w:val="-6"/>
          <w:sz w:val="32"/>
          <w:szCs w:val="32"/>
        </w:rPr>
      </w:pPr>
      <w:r>
        <w:rPr>
          <w:rFonts w:ascii="標楷體" w:eastAsia="標楷體" w:hAnsi="標楷體" w:cs="Book Antiqua"/>
          <w:color w:val="000000"/>
          <w:spacing w:val="-6"/>
          <w:sz w:val="32"/>
          <w:szCs w:val="32"/>
        </w:rPr>
        <w:t>十三、納稅義務人或受任人完成電子申辦後，應檢附證明文件：</w:t>
      </w:r>
    </w:p>
    <w:p w:rsidR="00E131AE" w:rsidRDefault="00FB1D6F">
      <w:pPr>
        <w:pStyle w:val="Standard"/>
        <w:spacing w:line="567" w:lineRule="exact"/>
        <w:ind w:left="1247" w:hanging="964"/>
        <w:jc w:val="both"/>
        <w:rPr>
          <w:rFonts w:ascii="標楷體" w:eastAsia="標楷體" w:hAnsi="標楷體" w:cs="Book Antiqua"/>
          <w:color w:val="000000"/>
          <w:sz w:val="32"/>
          <w:szCs w:val="32"/>
        </w:rPr>
      </w:pPr>
      <w:r>
        <w:rPr>
          <w:rFonts w:ascii="標楷體" w:eastAsia="標楷體" w:hAnsi="標楷體" w:cs="Book Antiqu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Book Antiqua"/>
          <w:color w:val="000000"/>
          <w:sz w:val="32"/>
          <w:szCs w:val="32"/>
        </w:rPr>
        <w:t>(</w:t>
      </w:r>
      <w:r>
        <w:rPr>
          <w:rFonts w:ascii="標楷體" w:eastAsia="標楷體" w:hAnsi="標楷體" w:cs="Book Antiqua"/>
          <w:color w:val="000000"/>
          <w:sz w:val="32"/>
          <w:szCs w:val="32"/>
        </w:rPr>
        <w:t>一</w:t>
      </w:r>
      <w:r>
        <w:rPr>
          <w:rFonts w:ascii="標楷體" w:eastAsia="標楷體" w:hAnsi="標楷體" w:cs="Book Antiqua"/>
          <w:color w:val="000000"/>
          <w:sz w:val="32"/>
          <w:szCs w:val="32"/>
        </w:rPr>
        <w:t>)</w:t>
      </w:r>
      <w:r>
        <w:rPr>
          <w:rFonts w:ascii="標楷體" w:eastAsia="標楷體" w:hAnsi="標楷體" w:cs="Book Antiqua"/>
          <w:color w:val="000000"/>
          <w:sz w:val="32"/>
          <w:szCs w:val="32"/>
        </w:rPr>
        <w:t>應行檢送之申報書及相關證明文件，應於申辦資料上傳成功之翌日起</w:t>
      </w:r>
      <w:r>
        <w:rPr>
          <w:rFonts w:ascii="標楷體" w:eastAsia="標楷體" w:hAnsi="標楷體" w:cs="Book Antiqua"/>
          <w:color w:val="000000"/>
          <w:sz w:val="32"/>
          <w:szCs w:val="32"/>
        </w:rPr>
        <w:t>10</w:t>
      </w:r>
      <w:r>
        <w:rPr>
          <w:rFonts w:ascii="標楷體" w:eastAsia="標楷體" w:hAnsi="標楷體" w:cs="Book Antiqua"/>
          <w:color w:val="000000"/>
          <w:sz w:val="32"/>
          <w:szCs w:val="32"/>
        </w:rPr>
        <w:t>日內送達被繼承人或贈與人戶籍所在地國稅局所屬分局、稽徵所、服務處。未於期限內送達者，逕依稽徵機關查得資料核定。</w:t>
      </w:r>
    </w:p>
    <w:p w:rsidR="00E131AE" w:rsidRDefault="00FB1D6F">
      <w:pPr>
        <w:pStyle w:val="Standard"/>
        <w:spacing w:line="567" w:lineRule="exact"/>
        <w:ind w:left="1247" w:hanging="964"/>
        <w:jc w:val="both"/>
        <w:rPr>
          <w:rFonts w:hint="eastAsia"/>
        </w:rPr>
      </w:pP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 xml:space="preserve">  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(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二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)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受任人申辦案件，依前款規定檢送相關文件時，應併同檢附委任書。未於前款規定期限內送達委任書者，稽徵機關應另訂期限函請受任人提供，並副知納稅義務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人；屆期仍未補正委任書，即不予受理其申辦案件。</w:t>
      </w:r>
    </w:p>
    <w:p w:rsidR="00E131AE" w:rsidRDefault="00FB1D6F">
      <w:pPr>
        <w:pStyle w:val="Standard"/>
        <w:spacing w:line="567" w:lineRule="exact"/>
        <w:ind w:left="1247" w:hanging="964"/>
        <w:jc w:val="both"/>
        <w:rPr>
          <w:rFonts w:hint="eastAsia"/>
        </w:rPr>
      </w:pP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 xml:space="preserve">  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(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三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)</w:t>
      </w: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t>前二款送達日期之認定，親自遞送者，以稽徵機關收件日為準；以掛號寄送者，以發寄郵局之郵戳日期為準。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</w:rPr>
        <w:lastRenderedPageBreak/>
        <w:t>十四、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納稅義務人或受任人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</w:rPr>
        <w:t>採用電子申辦者，稽徵機關之後續辦理調查及估價，與一般申報案件相同，悉依相關法令及規定辦理；屬受任人申辦案件，稽徵機關應於受理該申辦案件後，逐案通知納稅義務人。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DFKaiShu-SB-Estd-BF" w:eastAsia="標楷體" w:hAnsi="DFKaiShu-SB-Estd-BF" w:cs="Book Antiqua"/>
          <w:color w:val="000000"/>
          <w:spacing w:val="-6"/>
          <w:w w:val="93"/>
          <w:sz w:val="32"/>
          <w:szCs w:val="32"/>
          <w:lang w:val="zh-TW"/>
        </w:rPr>
        <w:t>十五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val="zh-TW"/>
        </w:rPr>
        <w:t>、納稅義務人或受任人以電子申辦方式申辦遺產稅或贈與稅案件，如有短報或漏報情事者，應依遺產及贈與稅法與相關規定處罰。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十六、納稅義務人得至電子稅務文件入口網站（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https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：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//etd.etax.nat.gov.tw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），申請核發經財政部核定之遺產稅及贈與稅各項證明書電子稅務文件，納稅義務人持電子稅務文件向相關機關（構）申辦業務時，應協助驗證作業。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十</w:t>
      </w: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七、本要點各相關機關（構）應配合事項，其細部作業程序應由各權責機關（構）另定之。</w:t>
      </w:r>
    </w:p>
    <w:p w:rsidR="00E131AE" w:rsidRDefault="00FB1D6F">
      <w:pPr>
        <w:pStyle w:val="Standard"/>
        <w:widowControl w:val="0"/>
        <w:suppressLineNumbers/>
        <w:overflowPunct w:val="0"/>
        <w:snapToGrid w:val="0"/>
        <w:spacing w:line="567" w:lineRule="exact"/>
        <w:ind w:left="907" w:hanging="907"/>
        <w:jc w:val="both"/>
        <w:rPr>
          <w:rFonts w:hint="eastAsia"/>
        </w:rPr>
      </w:pPr>
      <w:r>
        <w:rPr>
          <w:rFonts w:ascii="標楷體" w:eastAsia="標楷體" w:hAnsi="標楷體" w:cs="Book Antiqua"/>
          <w:color w:val="000000"/>
          <w:spacing w:val="-6"/>
          <w:w w:val="93"/>
          <w:sz w:val="32"/>
          <w:szCs w:val="32"/>
          <w:lang w:bidi="ar-SA"/>
        </w:rPr>
        <w:t>十八、本要點如有未盡事宜，由稽徵機關視實際情形依權責辦理。</w:t>
      </w:r>
    </w:p>
    <w:sectPr w:rsidR="00E131AE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6F" w:rsidRDefault="00FB1D6F">
      <w:pPr>
        <w:rPr>
          <w:rFonts w:hint="eastAsia"/>
        </w:rPr>
      </w:pPr>
      <w:r>
        <w:separator/>
      </w:r>
    </w:p>
  </w:endnote>
  <w:endnote w:type="continuationSeparator" w:id="0">
    <w:p w:rsidR="00FB1D6F" w:rsidRDefault="00FB1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3" w:rsidRDefault="00FB1D6F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484DD1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6F" w:rsidRDefault="00FB1D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1D6F" w:rsidRDefault="00FB1D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1AE"/>
    <w:rsid w:val="00484DD1"/>
    <w:rsid w:val="00E131AE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</w:style>
  <w:style w:type="paragraph" w:styleId="a6">
    <w:name w:val="header"/>
    <w:basedOn w:val="a"/>
    <w:link w:val="a7"/>
    <w:uiPriority w:val="99"/>
    <w:unhideWhenUsed/>
    <w:rsid w:val="00484DD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484DD1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</w:style>
  <w:style w:type="paragraph" w:styleId="a6">
    <w:name w:val="header"/>
    <w:basedOn w:val="a"/>
    <w:link w:val="a7"/>
    <w:uiPriority w:val="99"/>
    <w:unhideWhenUsed/>
    <w:rsid w:val="00484DD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484DD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林麗華</dc:creator>
  <cp:lastModifiedBy>afc123</cp:lastModifiedBy>
  <cp:revision>2</cp:revision>
  <cp:lastPrinted>2017-12-22T18:06:00Z</cp:lastPrinted>
  <dcterms:created xsi:type="dcterms:W3CDTF">2018-01-09T07:43:00Z</dcterms:created>
  <dcterms:modified xsi:type="dcterms:W3CDTF">2018-01-09T07:43:00Z</dcterms:modified>
</cp:coreProperties>
</file>