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B3" w:rsidRDefault="00A52E53">
      <w:pPr>
        <w:snapToGrid w:val="0"/>
      </w:pPr>
      <w:bookmarkStart w:id="0" w:name="_GoBack"/>
      <w:bookmarkEnd w:id="0"/>
      <w:r>
        <w:rPr>
          <w:rFonts w:eastAsia="標楷體"/>
          <w:noProof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4961250</wp:posOffset>
                </wp:positionH>
                <wp:positionV relativeFrom="paragraph">
                  <wp:posOffset>-46991</wp:posOffset>
                </wp:positionV>
                <wp:extent cx="1524003" cy="342900"/>
                <wp:effectExtent l="19050" t="19050" r="19047" b="19050"/>
                <wp:wrapTight wrapText="bothSides">
                  <wp:wrapPolygon edited="0">
                    <wp:start x="-270" y="-1200"/>
                    <wp:lineTo x="-270" y="21600"/>
                    <wp:lineTo x="21600" y="21600"/>
                    <wp:lineTo x="21600" y="-1200"/>
                    <wp:lineTo x="-270" y="-1200"/>
                  </wp:wrapPolygon>
                </wp:wrapTight>
                <wp:docPr id="1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3" cy="342900"/>
                        </a:xfrm>
                        <a:prstGeom prst="rect">
                          <a:avLst/>
                        </a:pr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758B3" w:rsidRDefault="00A52E5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pacing w:val="20"/>
                              </w:rPr>
                            </w:pPr>
                            <w:r>
                              <w:rPr>
                                <w:rFonts w:eastAsia="標楷體"/>
                                <w:spacing w:val="20"/>
                              </w:rPr>
                              <w:t>請詳閱招標文件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90.65pt;margin-top:-3.7pt;width:120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" filled="f" strokeweight="1.0584mm">
                <v:textbox>
                  <w:txbxContent>
                    <w:p w:rsidR="006758B3" w:rsidRDefault="00A52E53">
                      <w:pPr>
                        <w:snapToGrid w:val="0"/>
                        <w:jc w:val="center"/>
                        <w:rPr>
                          <w:rFonts w:eastAsia="標楷體"/>
                          <w:spacing w:val="20"/>
                        </w:rPr>
                      </w:pPr>
                      <w:r>
                        <w:rPr>
                          <w:rFonts w:eastAsia="標楷體"/>
                          <w:spacing w:val="20"/>
                        </w:rPr>
                        <w:t>請詳閱招標文件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758B3" w:rsidRDefault="00A52E53">
      <w:pPr>
        <w:snapToGrid w:val="0"/>
        <w:jc w:val="center"/>
      </w:pPr>
      <w:r>
        <w:rPr>
          <w:rFonts w:eastAsia="標楷體"/>
          <w:sz w:val="36"/>
        </w:rPr>
        <w:t xml:space="preserve">              </w:t>
      </w:r>
      <w:r>
        <w:rPr>
          <w:rFonts w:eastAsia="標楷體"/>
          <w:b/>
          <w:sz w:val="36"/>
        </w:rPr>
        <w:t>投標單</w:t>
      </w:r>
    </w:p>
    <w:p w:rsidR="006758B3" w:rsidRDefault="00A52E53">
      <w:pPr>
        <w:snapToGrid w:val="0"/>
      </w:pPr>
      <w:r>
        <w:rPr>
          <w:rFonts w:eastAsia="標楷體"/>
          <w:sz w:val="28"/>
        </w:rPr>
        <w:t>標案名稱：</w:t>
      </w:r>
      <w:r>
        <w:rPr>
          <w:rFonts w:ascii="標楷體" w:eastAsia="標楷體" w:hAnsi="標楷體"/>
          <w:b/>
          <w:bCs/>
          <w:sz w:val="28"/>
          <w:szCs w:val="28"/>
        </w:rPr>
        <w:t>109</w:t>
      </w:r>
      <w:r>
        <w:rPr>
          <w:rFonts w:ascii="標楷體" w:eastAsia="標楷體" w:hAnsi="標楷體"/>
          <w:b/>
          <w:bCs/>
          <w:sz w:val="28"/>
          <w:szCs w:val="28"/>
        </w:rPr>
        <w:t>年度臺北市芳和實驗國民中學設置太陽能光電風雨球場公開標租案</w:t>
      </w:r>
    </w:p>
    <w:tbl>
      <w:tblPr>
        <w:tblW w:w="101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2"/>
      </w:tblGrid>
      <w:tr w:rsidR="006758B3">
        <w:tblPrEx>
          <w:tblCellMar>
            <w:top w:w="0" w:type="dxa"/>
            <w:bottom w:w="0" w:type="dxa"/>
          </w:tblCellMar>
        </w:tblPrEx>
        <w:trPr>
          <w:trHeight w:val="5127"/>
        </w:trPr>
        <w:tc>
          <w:tcPr>
            <w:tcW w:w="101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B3" w:rsidRDefault="00A52E53">
            <w:pPr>
              <w:pStyle w:val="a3"/>
              <w:numPr>
                <w:ilvl w:val="0"/>
                <w:numId w:val="1"/>
              </w:numPr>
              <w:spacing w:before="0" w:line="360" w:lineRule="auto"/>
              <w:ind w:left="851" w:hanging="85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投標廠商對上開招標文件，均己完全明瞭接受。</w:t>
            </w:r>
          </w:p>
          <w:p w:rsidR="006758B3" w:rsidRDefault="00A52E53">
            <w:pPr>
              <w:pStyle w:val="a3"/>
              <w:numPr>
                <w:ilvl w:val="0"/>
                <w:numId w:val="1"/>
              </w:numPr>
              <w:spacing w:before="0" w:line="360" w:lineRule="auto"/>
              <w:ind w:left="851" w:hanging="851"/>
            </w:pPr>
            <w:r>
              <w:rPr>
                <w:b/>
                <w:spacing w:val="0"/>
                <w:szCs w:val="28"/>
              </w:rPr>
              <w:t>競標設備設置容量：</w:t>
            </w:r>
            <w:r>
              <w:rPr>
                <w:b/>
                <w:spacing w:val="0"/>
                <w:szCs w:val="28"/>
                <w:u w:val="single"/>
              </w:rPr>
              <w:t xml:space="preserve">           </w:t>
            </w:r>
            <w:r>
              <w:rPr>
                <w:b/>
                <w:spacing w:val="0"/>
                <w:szCs w:val="28"/>
              </w:rPr>
              <w:t>(kWp)</w:t>
            </w:r>
          </w:p>
          <w:p w:rsidR="006758B3" w:rsidRDefault="00A52E53">
            <w:pPr>
              <w:overflowPunct w:val="0"/>
              <w:snapToGrid w:val="0"/>
              <w:spacing w:line="360" w:lineRule="auto"/>
              <w:ind w:left="850"/>
            </w:pPr>
            <w:r>
              <w:rPr>
                <w:rFonts w:eastAsia="標楷體"/>
                <w:sz w:val="28"/>
                <w:szCs w:val="24"/>
              </w:rPr>
              <w:t>(</w:t>
            </w:r>
            <w:r>
              <w:rPr>
                <w:rFonts w:eastAsia="標楷體"/>
                <w:sz w:val="28"/>
                <w:szCs w:val="24"/>
              </w:rPr>
              <w:t>數值可填寫至小數點後一位。本標單上之競標設備設置容量下限不低於基本設備設置容量</w:t>
            </w:r>
            <w:r>
              <w:rPr>
                <w:rFonts w:eastAsia="標楷體"/>
                <w:sz w:val="28"/>
                <w:szCs w:val="24"/>
              </w:rPr>
              <w:t>100</w:t>
            </w:r>
            <w:r>
              <w:rPr>
                <w:rFonts w:eastAsia="標楷體"/>
                <w:sz w:val="28"/>
                <w:szCs w:val="24"/>
              </w:rPr>
              <w:t>峰瓩（</w:t>
            </w:r>
            <w:r>
              <w:rPr>
                <w:rFonts w:eastAsia="標楷體"/>
                <w:sz w:val="28"/>
                <w:szCs w:val="24"/>
              </w:rPr>
              <w:t>kWp</w:t>
            </w:r>
            <w:r>
              <w:rPr>
                <w:rFonts w:eastAsia="標楷體"/>
                <w:sz w:val="28"/>
                <w:szCs w:val="24"/>
              </w:rPr>
              <w:t>），上限不超過</w:t>
            </w:r>
            <w:r>
              <w:rPr>
                <w:rFonts w:eastAsia="標楷體"/>
                <w:sz w:val="28"/>
                <w:szCs w:val="24"/>
              </w:rPr>
              <w:t>200</w:t>
            </w:r>
            <w:r>
              <w:rPr>
                <w:rFonts w:eastAsia="標楷體"/>
                <w:sz w:val="28"/>
                <w:szCs w:val="24"/>
              </w:rPr>
              <w:t>峰瓩（</w:t>
            </w:r>
            <w:r>
              <w:rPr>
                <w:rFonts w:eastAsia="標楷體"/>
                <w:sz w:val="28"/>
                <w:szCs w:val="24"/>
              </w:rPr>
              <w:t>kWp</w:t>
            </w:r>
            <w:r>
              <w:rPr>
                <w:rFonts w:eastAsia="標楷體"/>
                <w:sz w:val="28"/>
                <w:szCs w:val="24"/>
              </w:rPr>
              <w:t>），低於</w:t>
            </w:r>
            <w:r>
              <w:rPr>
                <w:rFonts w:eastAsia="標楷體"/>
                <w:sz w:val="28"/>
                <w:szCs w:val="24"/>
              </w:rPr>
              <w:t>100</w:t>
            </w:r>
            <w:r>
              <w:rPr>
                <w:rFonts w:eastAsia="標楷體"/>
                <w:sz w:val="28"/>
                <w:szCs w:val="24"/>
              </w:rPr>
              <w:t>峰瓩（</w:t>
            </w:r>
            <w:r>
              <w:rPr>
                <w:rFonts w:eastAsia="標楷體"/>
                <w:sz w:val="28"/>
                <w:szCs w:val="24"/>
              </w:rPr>
              <w:t>kWp</w:t>
            </w:r>
            <w:r>
              <w:rPr>
                <w:rFonts w:eastAsia="標楷體"/>
                <w:sz w:val="28"/>
                <w:szCs w:val="24"/>
              </w:rPr>
              <w:t>）或超過</w:t>
            </w:r>
            <w:r>
              <w:rPr>
                <w:rFonts w:eastAsia="標楷體"/>
                <w:sz w:val="28"/>
                <w:szCs w:val="24"/>
              </w:rPr>
              <w:t>200</w:t>
            </w:r>
            <w:r>
              <w:rPr>
                <w:rFonts w:eastAsia="標楷體"/>
                <w:sz w:val="28"/>
                <w:szCs w:val="24"/>
              </w:rPr>
              <w:t>峰瓩（</w:t>
            </w:r>
            <w:r>
              <w:rPr>
                <w:rFonts w:eastAsia="標楷體"/>
                <w:sz w:val="28"/>
                <w:szCs w:val="24"/>
              </w:rPr>
              <w:t>kWp</w:t>
            </w:r>
            <w:r>
              <w:rPr>
                <w:rFonts w:eastAsia="標楷體"/>
                <w:sz w:val="28"/>
                <w:szCs w:val="24"/>
              </w:rPr>
              <w:t>）者，視為不合格標單。</w:t>
            </w:r>
            <w:r>
              <w:rPr>
                <w:rFonts w:eastAsia="標楷體"/>
                <w:szCs w:val="24"/>
              </w:rPr>
              <w:t>）</w:t>
            </w:r>
          </w:p>
          <w:p w:rsidR="006758B3" w:rsidRDefault="00A52E53">
            <w:pPr>
              <w:pStyle w:val="a3"/>
              <w:numPr>
                <w:ilvl w:val="0"/>
                <w:numId w:val="1"/>
              </w:numPr>
              <w:spacing w:before="0" w:line="360" w:lineRule="auto"/>
              <w:ind w:left="851" w:hanging="851"/>
            </w:pPr>
            <w:r>
              <w:rPr>
                <w:b/>
                <w:spacing w:val="0"/>
                <w:szCs w:val="28"/>
              </w:rPr>
              <w:t>售電回饋百分比：</w:t>
            </w:r>
            <w:r>
              <w:rPr>
                <w:b/>
                <w:spacing w:val="0"/>
                <w:szCs w:val="28"/>
                <w:u w:val="single"/>
              </w:rPr>
              <w:t xml:space="preserve">           </w:t>
            </w:r>
            <w:r>
              <w:rPr>
                <w:b/>
                <w:spacing w:val="0"/>
                <w:szCs w:val="28"/>
              </w:rPr>
              <w:t>%</w:t>
            </w:r>
          </w:p>
          <w:p w:rsidR="006758B3" w:rsidRDefault="00A52E53">
            <w:pPr>
              <w:pStyle w:val="a3"/>
              <w:spacing w:before="0" w:line="360" w:lineRule="auto"/>
              <w:ind w:left="851" w:firstLine="0"/>
            </w:pPr>
            <w:r>
              <w:rPr>
                <w:spacing w:val="0"/>
                <w:szCs w:val="28"/>
              </w:rPr>
              <w:t>(</w:t>
            </w:r>
            <w:r>
              <w:rPr>
                <w:spacing w:val="0"/>
                <w:szCs w:val="24"/>
              </w:rPr>
              <w:t>數值可填寫至小數點後一位，惟最低回饋百分比至少為</w:t>
            </w:r>
            <w:r>
              <w:rPr>
                <w:spacing w:val="0"/>
                <w:szCs w:val="24"/>
              </w:rPr>
              <w:t>1%</w:t>
            </w:r>
            <w:r>
              <w:rPr>
                <w:spacing w:val="0"/>
                <w:szCs w:val="24"/>
              </w:rPr>
              <w:t>，低於</w:t>
            </w:r>
            <w:r>
              <w:rPr>
                <w:spacing w:val="0"/>
                <w:szCs w:val="24"/>
              </w:rPr>
              <w:t>1%</w:t>
            </w:r>
            <w:r>
              <w:rPr>
                <w:spacing w:val="0"/>
                <w:szCs w:val="24"/>
              </w:rPr>
              <w:t>視為無效標標單</w:t>
            </w:r>
            <w:r>
              <w:rPr>
                <w:spacing w:val="0"/>
                <w:szCs w:val="24"/>
              </w:rPr>
              <w:t>)</w:t>
            </w:r>
          </w:p>
          <w:p w:rsidR="006758B3" w:rsidRDefault="00A52E53">
            <w:pPr>
              <w:pStyle w:val="a3"/>
              <w:numPr>
                <w:ilvl w:val="0"/>
                <w:numId w:val="1"/>
              </w:numPr>
              <w:spacing w:before="0" w:line="360" w:lineRule="auto"/>
              <w:ind w:left="851" w:hanging="851"/>
            </w:pPr>
            <w:r>
              <w:rPr>
                <w:b/>
                <w:spacing w:val="0"/>
                <w:szCs w:val="28"/>
              </w:rPr>
              <w:t>兩者相乘比值：</w:t>
            </w:r>
            <w:r>
              <w:rPr>
                <w:b/>
                <w:spacing w:val="0"/>
                <w:szCs w:val="28"/>
                <w:u w:val="single"/>
              </w:rPr>
              <w:t xml:space="preserve">               </w:t>
            </w:r>
            <w:r>
              <w:rPr>
                <w:b/>
                <w:spacing w:val="0"/>
                <w:szCs w:val="28"/>
                <w:u w:val="single"/>
              </w:rPr>
              <w:t>。</w:t>
            </w:r>
            <w:r>
              <w:rPr>
                <w:b/>
                <w:spacing w:val="0"/>
                <w:szCs w:val="28"/>
                <w:u w:val="single"/>
              </w:rPr>
              <w:t xml:space="preserve">   </w:t>
            </w:r>
          </w:p>
          <w:p w:rsidR="006758B3" w:rsidRDefault="00A52E53">
            <w:pPr>
              <w:snapToGrid w:val="0"/>
              <w:spacing w:line="360" w:lineRule="auto"/>
              <w:ind w:left="850"/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上述請</w:t>
            </w:r>
            <w:r>
              <w:rPr>
                <w:rFonts w:eastAsia="標楷體"/>
                <w:b/>
                <w:sz w:val="28"/>
                <w:u w:val="single"/>
              </w:rPr>
              <w:t>以阿拉伯數字書寫</w:t>
            </w:r>
            <w:r>
              <w:rPr>
                <w:rFonts w:eastAsia="標楷體"/>
                <w:sz w:val="28"/>
              </w:rPr>
              <w:t>，如有塗改請蓋章，相乘比值以有效投標標單之競標設備設置容量</w:t>
            </w:r>
            <w:r>
              <w:rPr>
                <w:rFonts w:eastAsia="標楷體"/>
                <w:sz w:val="28"/>
              </w:rPr>
              <w:t>(kWp)x</w:t>
            </w:r>
            <w:r>
              <w:rPr>
                <w:rFonts w:eastAsia="標楷體"/>
                <w:sz w:val="28"/>
              </w:rPr>
              <w:t>售電回饋百分</w:t>
            </w:r>
            <w:r>
              <w:rPr>
                <w:rFonts w:eastAsia="標楷體"/>
                <w:kern w:val="0"/>
                <w:sz w:val="28"/>
              </w:rPr>
              <w:t>比，例如</w:t>
            </w:r>
            <w:r>
              <w:rPr>
                <w:rFonts w:eastAsia="標楷體"/>
                <w:sz w:val="28"/>
              </w:rPr>
              <w:t>設置容量</w:t>
            </w:r>
            <w:r>
              <w:rPr>
                <w:rFonts w:eastAsia="標楷體"/>
                <w:sz w:val="28"/>
                <w:u w:val="single"/>
              </w:rPr>
              <w:t>120</w:t>
            </w:r>
            <w:r>
              <w:rPr>
                <w:rFonts w:eastAsia="標楷體"/>
                <w:sz w:val="28"/>
              </w:rPr>
              <w:t>，回饋百分比為</w:t>
            </w:r>
            <w:r>
              <w:rPr>
                <w:rFonts w:eastAsia="標楷體"/>
                <w:kern w:val="0"/>
                <w:sz w:val="28"/>
              </w:rPr>
              <w:t>百分之</w:t>
            </w:r>
            <w:r>
              <w:rPr>
                <w:rFonts w:eastAsia="標楷體"/>
                <w:sz w:val="28"/>
                <w:u w:val="single"/>
              </w:rPr>
              <w:t>1</w:t>
            </w:r>
            <w:r>
              <w:rPr>
                <w:rFonts w:eastAsia="標楷體"/>
                <w:sz w:val="28"/>
              </w:rPr>
              <w:t>，相乘比值：</w:t>
            </w:r>
            <w:r>
              <w:rPr>
                <w:rFonts w:eastAsia="標楷體"/>
                <w:sz w:val="28"/>
                <w:u w:val="single"/>
              </w:rPr>
              <w:t>120</w:t>
            </w:r>
            <w:r>
              <w:rPr>
                <w:rFonts w:eastAsia="標楷體"/>
                <w:sz w:val="28"/>
              </w:rPr>
              <w:t>，如相乘比值經審查錯誤者，由本局自行修正。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6758B3">
        <w:tblPrEx>
          <w:tblCellMar>
            <w:top w:w="0" w:type="dxa"/>
            <w:bottom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B3" w:rsidRDefault="00A52E53">
            <w:pPr>
              <w:pStyle w:val="a3"/>
              <w:numPr>
                <w:ilvl w:val="0"/>
                <w:numId w:val="2"/>
              </w:numPr>
              <w:spacing w:before="0"/>
              <w:ind w:left="851" w:hanging="851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標價填寫注意事項：</w:t>
            </w:r>
            <w:r>
              <w:rPr>
                <w:spacing w:val="0"/>
                <w:szCs w:val="24"/>
              </w:rPr>
              <w:t>(</w:t>
            </w:r>
            <w:r>
              <w:rPr>
                <w:spacing w:val="0"/>
                <w:szCs w:val="24"/>
              </w:rPr>
              <w:t>無效標之規定</w:t>
            </w:r>
            <w:r>
              <w:rPr>
                <w:spacing w:val="0"/>
                <w:szCs w:val="24"/>
              </w:rPr>
              <w:t>)</w:t>
            </w:r>
          </w:p>
          <w:p w:rsidR="006758B3" w:rsidRDefault="00A52E53">
            <w:pPr>
              <w:pStyle w:val="a3"/>
              <w:spacing w:before="0"/>
              <w:ind w:left="1135" w:hanging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6416043</wp:posOffset>
                      </wp:positionH>
                      <wp:positionV relativeFrom="paragraph">
                        <wp:posOffset>494032</wp:posOffset>
                      </wp:positionV>
                      <wp:extent cx="381003" cy="3057525"/>
                      <wp:effectExtent l="0" t="0" r="0" b="9525"/>
                      <wp:wrapNone/>
                      <wp:docPr id="2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3" cy="305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758B3" w:rsidRDefault="00A52E53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eastAsia="標楷體"/>
                                      <w:spacing w:val="2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20"/>
                                      <w:sz w:val="28"/>
                                    </w:rPr>
                                    <w:t>本標單決標後，併入行政契約中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505.2pt;margin-top:38.9pt;width:30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" stroked="f">
                      <v:textbox style="layout-flow:vertical-ideographic">
                        <w:txbxContent>
                          <w:p w:rsidR="006758B3" w:rsidRDefault="00A52E53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pacing w:val="20"/>
                                <w:sz w:val="28"/>
                              </w:rPr>
                              <w:t>本標單決標後，併入行政契約中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/>
                <w:spacing w:val="0"/>
                <w:szCs w:val="24"/>
              </w:rPr>
              <w:t>＊若使用鉛筆或其他易塗改之書寫工具書寫，視為無效標；</w:t>
            </w:r>
            <w:r>
              <w:t>競標</w:t>
            </w:r>
            <w:r>
              <w:rPr>
                <w:rFonts w:ascii="標楷體" w:hAnsi="標楷體"/>
                <w:spacing w:val="0"/>
                <w:szCs w:val="24"/>
              </w:rPr>
              <w:t>設備設置容量、售電回饋百分比及兩者相乘比值，經修</w:t>
            </w:r>
            <w:r>
              <w:rPr>
                <w:rFonts w:ascii="標楷體" w:hAnsi="標楷體"/>
                <w:spacing w:val="0"/>
                <w:szCs w:val="24"/>
              </w:rPr>
              <w:t>(</w:t>
            </w:r>
            <w:r>
              <w:rPr>
                <w:rFonts w:ascii="標楷體" w:hAnsi="標楷體"/>
                <w:spacing w:val="0"/>
                <w:szCs w:val="24"/>
              </w:rPr>
              <w:t>塗</w:t>
            </w:r>
            <w:r>
              <w:rPr>
                <w:rFonts w:ascii="標楷體" w:hAnsi="標楷體"/>
                <w:spacing w:val="0"/>
                <w:szCs w:val="24"/>
              </w:rPr>
              <w:t>)</w:t>
            </w:r>
            <w:r>
              <w:rPr>
                <w:rFonts w:ascii="標楷體" w:hAnsi="標楷體"/>
                <w:spacing w:val="0"/>
                <w:szCs w:val="24"/>
              </w:rPr>
              <w:t>改處未加蓋印章，相乘比值經審查錯誤，亦同。</w:t>
            </w:r>
          </w:p>
          <w:p w:rsidR="006758B3" w:rsidRDefault="00A52E53">
            <w:pPr>
              <w:pStyle w:val="a3"/>
              <w:numPr>
                <w:ilvl w:val="0"/>
                <w:numId w:val="2"/>
              </w:numPr>
              <w:spacing w:before="0"/>
              <w:ind w:left="851" w:hanging="851"/>
            </w:pPr>
            <w:r>
              <w:rPr>
                <w:rFonts w:ascii="標楷體" w:hAnsi="標楷體"/>
                <w:spacing w:val="0"/>
                <w:szCs w:val="24"/>
              </w:rPr>
              <w:t>上開報價之有效期同意依投標須知內之規定，本案倘因故延期決標而超出該期限，除本投標廠商書面反對延長外，同意延長至實際決標日。</w:t>
            </w:r>
          </w:p>
          <w:p w:rsidR="006758B3" w:rsidRDefault="00A52E53">
            <w:pPr>
              <w:pStyle w:val="a3"/>
              <w:spacing w:before="0"/>
              <w:ind w:left="1135" w:hanging="283"/>
            </w:pPr>
            <w:r>
              <w:rPr>
                <w:bCs/>
                <w:spacing w:val="0"/>
                <w:szCs w:val="24"/>
              </w:rPr>
              <w:t>＊本標單</w:t>
            </w:r>
            <w:r>
              <w:rPr>
                <w:rFonts w:ascii="標楷體" w:hAnsi="標楷體"/>
                <w:spacing w:val="0"/>
                <w:szCs w:val="24"/>
              </w:rPr>
              <w:t>投標</w:t>
            </w:r>
            <w:r>
              <w:rPr>
                <w:bCs/>
                <w:spacing w:val="0"/>
                <w:szCs w:val="24"/>
              </w:rPr>
              <w:t>廠商未用印，視同不合格標。</w:t>
            </w:r>
          </w:p>
          <w:p w:rsidR="006758B3" w:rsidRDefault="006758B3">
            <w:pPr>
              <w:pStyle w:val="a3"/>
              <w:spacing w:before="0"/>
              <w:ind w:left="0" w:firstLine="0"/>
              <w:rPr>
                <w:spacing w:val="0"/>
              </w:rPr>
            </w:pPr>
          </w:p>
          <w:p w:rsidR="006758B3" w:rsidRDefault="006758B3">
            <w:pPr>
              <w:pStyle w:val="a3"/>
              <w:spacing w:before="0"/>
              <w:ind w:left="0" w:firstLine="0"/>
            </w:pPr>
          </w:p>
          <w:p w:rsidR="006758B3" w:rsidRDefault="006758B3">
            <w:pPr>
              <w:pStyle w:val="a3"/>
              <w:spacing w:before="0"/>
              <w:ind w:left="0" w:firstLine="0"/>
            </w:pPr>
          </w:p>
          <w:p w:rsidR="006758B3" w:rsidRDefault="00A52E53">
            <w:pPr>
              <w:pStyle w:val="a3"/>
              <w:spacing w:before="0"/>
              <w:ind w:left="0" w:firstLine="0"/>
            </w:pPr>
            <w:r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3524883</wp:posOffset>
                      </wp:positionH>
                      <wp:positionV relativeFrom="paragraph">
                        <wp:posOffset>8257</wp:posOffset>
                      </wp:positionV>
                      <wp:extent cx="1628775" cy="1437007"/>
                      <wp:effectExtent l="0" t="0" r="28575" b="10793"/>
                      <wp:wrapNone/>
                      <wp:docPr id="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437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77.55pt;margin-top:.65pt;width:128.25pt;height:11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" strokeweight=".26467mm">
                      <v:textbox inset="0,0,0,0"/>
                    </v:rect>
                  </w:pict>
                </mc:Fallback>
              </mc:AlternateContent>
            </w:r>
          </w:p>
          <w:p w:rsidR="006758B3" w:rsidRDefault="00A52E53">
            <w:pPr>
              <w:pStyle w:val="a3"/>
              <w:spacing w:before="0" w:line="360" w:lineRule="auto"/>
              <w:ind w:left="0" w:firstLine="0"/>
            </w:pPr>
            <w:r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5441951</wp:posOffset>
                      </wp:positionH>
                      <wp:positionV relativeFrom="paragraph">
                        <wp:posOffset>36832</wp:posOffset>
                      </wp:positionV>
                      <wp:extent cx="761366" cy="800100"/>
                      <wp:effectExtent l="0" t="0" r="19684" b="19050"/>
                      <wp:wrapNone/>
                      <wp:docPr id="4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366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28.5pt;margin-top:2.9pt;width:59.95pt;height:6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spacing w:val="0"/>
              </w:rPr>
              <w:t xml:space="preserve">          </w:t>
            </w:r>
            <w:r>
              <w:rPr>
                <w:spacing w:val="0"/>
              </w:rPr>
              <w:t>投標廠商：</w:t>
            </w:r>
            <w:r>
              <w:t xml:space="preserve"> </w:t>
            </w:r>
          </w:p>
          <w:p w:rsidR="006758B3" w:rsidRDefault="00A52E53">
            <w:pPr>
              <w:pStyle w:val="a3"/>
              <w:spacing w:before="0" w:line="360" w:lineRule="auto"/>
              <w:ind w:left="0" w:firstLine="0"/>
            </w:pPr>
            <w:r>
              <w:rPr>
                <w:spacing w:val="0"/>
              </w:rPr>
              <w:t xml:space="preserve">          </w:t>
            </w:r>
            <w:r>
              <w:rPr>
                <w:spacing w:val="0"/>
              </w:rPr>
              <w:t>負責人：</w:t>
            </w:r>
          </w:p>
          <w:p w:rsidR="006758B3" w:rsidRDefault="00A52E53">
            <w:pPr>
              <w:pStyle w:val="a3"/>
              <w:spacing w:before="0" w:line="360" w:lineRule="auto"/>
              <w:ind w:left="0" w:firstLine="0"/>
              <w:rPr>
                <w:spacing w:val="0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spacing w:val="0"/>
              </w:rPr>
              <w:t>地</w:t>
            </w:r>
            <w:r>
              <w:rPr>
                <w:spacing w:val="0"/>
              </w:rPr>
              <w:t xml:space="preserve">    </w:t>
            </w:r>
            <w:r>
              <w:rPr>
                <w:spacing w:val="0"/>
              </w:rPr>
              <w:t>址：</w:t>
            </w: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758B3">
        <w:tblPrEx>
          <w:tblCellMar>
            <w:top w:w="0" w:type="dxa"/>
            <w:bottom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B3" w:rsidRDefault="00A52E5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押標金票據號碼：</w:t>
            </w: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A52E5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押標金新臺幣</w:t>
            </w: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元之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票據號碼</w:t>
            </w:r>
            <w:r>
              <w:rPr>
                <w:rFonts w:eastAsia="標楷體"/>
                <w:sz w:val="28"/>
                <w:szCs w:val="28"/>
              </w:rPr>
              <w:t xml:space="preserve">)                    </w:t>
            </w:r>
            <w:r>
              <w:rPr>
                <w:rFonts w:eastAsia="標楷體"/>
                <w:sz w:val="28"/>
                <w:szCs w:val="28"/>
              </w:rPr>
              <w:t>號票據乙紙。</w:t>
            </w:r>
          </w:p>
        </w:tc>
      </w:tr>
      <w:tr w:rsidR="006758B3">
        <w:tblPrEx>
          <w:tblCellMar>
            <w:top w:w="0" w:type="dxa"/>
            <w:bottom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B3" w:rsidRDefault="00A52E5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領回押標金票據（簽章）</w:t>
            </w: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A52E5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於開標後，由領回者簽收</w:t>
            </w:r>
            <w:r>
              <w:rPr>
                <w:rFonts w:eastAsia="標楷體"/>
                <w:sz w:val="28"/>
                <w:szCs w:val="28"/>
              </w:rPr>
              <w:t xml:space="preserve">)  </w:t>
            </w:r>
            <w:r>
              <w:rPr>
                <w:rFonts w:eastAsia="標楷體"/>
                <w:sz w:val="28"/>
                <w:szCs w:val="28"/>
              </w:rPr>
              <w:t>請簽寫領回者姓名、身分證字號及電話</w:t>
            </w:r>
          </w:p>
        </w:tc>
      </w:tr>
      <w:tr w:rsidR="006758B3">
        <w:tblPrEx>
          <w:tblCellMar>
            <w:top w:w="0" w:type="dxa"/>
            <w:bottom w:w="0" w:type="dxa"/>
          </w:tblCellMar>
        </w:tblPrEx>
        <w:tc>
          <w:tcPr>
            <w:tcW w:w="10152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B3" w:rsidRDefault="00A52E53">
            <w:pPr>
              <w:snapToGrid w:val="0"/>
            </w:pPr>
            <w:r>
              <w:rPr>
                <w:rFonts w:ascii="標楷體" w:hAnsi="標楷體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-500377</wp:posOffset>
                      </wp:positionH>
                      <wp:positionV relativeFrom="paragraph">
                        <wp:posOffset>113669</wp:posOffset>
                      </wp:positionV>
                      <wp:extent cx="381003" cy="2938781"/>
                      <wp:effectExtent l="0" t="0" r="0" b="0"/>
                      <wp:wrapNone/>
                      <wp:docPr id="5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3" cy="2938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758B3" w:rsidRDefault="00A52E53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雙線以下部分，在未開標前請勿填寫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8" type="#_x0000_t202" style="position:absolute;margin-left:-39.4pt;margin-top:8.95pt;width:30pt;height:23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" stroked="f">
                      <v:textbox style="layout-flow:vertical-ideographic">
                        <w:txbxContent>
                          <w:p w:rsidR="006758B3" w:rsidRDefault="00A52E53">
                            <w:pPr>
                              <w:snapToGrid w:val="0"/>
                              <w:spacing w:line="160" w:lineRule="atLeas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雙線以下部分，在未開標前請勿填寫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>加價情形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廠商投標時請勿填寫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tbl>
            <w:tblPr>
              <w:tblW w:w="992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3260"/>
              <w:gridCol w:w="2693"/>
              <w:gridCol w:w="2521"/>
            </w:tblGrid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加價次別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競標設備設置容量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(kWp)</w:t>
                  </w:r>
                </w:p>
                <w:p w:rsidR="006758B3" w:rsidRDefault="00A52E5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sz w:val="28"/>
                      <w:szCs w:val="24"/>
                    </w:rPr>
                    <w:t>數值可填寫至小數點後</w:t>
                  </w:r>
                  <w:r>
                    <w:rPr>
                      <w:rFonts w:eastAsia="標楷體"/>
                      <w:sz w:val="28"/>
                      <w:szCs w:val="24"/>
                    </w:rPr>
                    <w:t>1</w:t>
                  </w:r>
                  <w:r>
                    <w:rPr>
                      <w:rFonts w:eastAsia="標楷體"/>
                      <w:sz w:val="28"/>
                      <w:szCs w:val="24"/>
                    </w:rPr>
                    <w:t>位</w:t>
                  </w:r>
                  <w:r>
                    <w:rPr>
                      <w:rFonts w:eastAsia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售電回饋百分比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(%)</w:t>
                  </w:r>
                </w:p>
                <w:p w:rsidR="006758B3" w:rsidRDefault="00A52E5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sz w:val="28"/>
                      <w:szCs w:val="24"/>
                    </w:rPr>
                    <w:t>數值可填寫至小數點後</w:t>
                  </w:r>
                  <w:r>
                    <w:rPr>
                      <w:rFonts w:eastAsia="標楷體"/>
                      <w:sz w:val="28"/>
                      <w:szCs w:val="24"/>
                    </w:rPr>
                    <w:t>1</w:t>
                  </w:r>
                  <w:r>
                    <w:rPr>
                      <w:rFonts w:eastAsia="標楷體"/>
                      <w:sz w:val="28"/>
                      <w:szCs w:val="24"/>
                    </w:rPr>
                    <w:t>位</w:t>
                  </w:r>
                  <w:r>
                    <w:rPr>
                      <w:rFonts w:eastAsia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相乘比值</w:t>
                  </w:r>
                </w:p>
              </w:tc>
            </w:tr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第一次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第二次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第三次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第四次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第五次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6758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A52E53">
                  <w:pPr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第六次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8B3" w:rsidRDefault="006758B3">
                  <w:pPr>
                    <w:snapToGrid w:val="0"/>
                    <w:spacing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6758B3" w:rsidRDefault="00A52E5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註：議價內容以售電回饋百分比</w:t>
            </w:r>
            <w:r>
              <w:rPr>
                <w:rFonts w:eastAsia="標楷體"/>
                <w:sz w:val="28"/>
                <w:szCs w:val="28"/>
              </w:rPr>
              <w:t>(%)</w:t>
            </w:r>
            <w:r>
              <w:rPr>
                <w:rFonts w:eastAsia="標楷體"/>
                <w:sz w:val="28"/>
                <w:szCs w:val="28"/>
              </w:rPr>
              <w:t>為議價項目，且競標設備設置容量</w:t>
            </w:r>
            <w:r>
              <w:rPr>
                <w:rFonts w:eastAsia="標楷體"/>
                <w:sz w:val="28"/>
                <w:szCs w:val="28"/>
              </w:rPr>
              <w:t>(kWp)</w:t>
            </w:r>
            <w:r>
              <w:rPr>
                <w:rFonts w:eastAsia="標楷體"/>
                <w:sz w:val="28"/>
                <w:szCs w:val="28"/>
              </w:rPr>
              <w:t>與售電回饋百分比</w:t>
            </w:r>
            <w:r>
              <w:rPr>
                <w:rFonts w:eastAsia="標楷體"/>
                <w:sz w:val="28"/>
                <w:szCs w:val="28"/>
              </w:rPr>
              <w:t>(%)</w:t>
            </w:r>
            <w:r>
              <w:rPr>
                <w:rFonts w:eastAsia="標楷體"/>
                <w:sz w:val="28"/>
                <w:szCs w:val="28"/>
              </w:rPr>
              <w:t>皆不得低於投標時之填寫值。</w:t>
            </w: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758B3">
        <w:tblPrEx>
          <w:tblCellMar>
            <w:top w:w="0" w:type="dxa"/>
            <w:bottom w:w="0" w:type="dxa"/>
          </w:tblCellMar>
        </w:tblPrEx>
        <w:tc>
          <w:tcPr>
            <w:tcW w:w="10152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B3" w:rsidRDefault="00A52E5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招標單位</w:t>
            </w:r>
            <w:r>
              <w:rPr>
                <w:rFonts w:eastAsia="標楷體"/>
                <w:sz w:val="28"/>
                <w:szCs w:val="28"/>
              </w:rPr>
              <w:t xml:space="preserve">                         </w:t>
            </w:r>
            <w:r>
              <w:rPr>
                <w:rFonts w:eastAsia="標楷體"/>
                <w:sz w:val="28"/>
                <w:szCs w:val="28"/>
              </w:rPr>
              <w:t>主持人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標楷體"/>
                <w:sz w:val="28"/>
                <w:szCs w:val="28"/>
              </w:rPr>
              <w:t>臺北市政府教育局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6758B3" w:rsidRDefault="006758B3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6758B3" w:rsidRDefault="00A52E53">
      <w:pPr>
        <w:snapToGrid w:val="0"/>
        <w:ind w:left="240" w:hanging="240"/>
        <w:jc w:val="both"/>
      </w:pPr>
      <w:r>
        <w:rPr>
          <w:rFonts w:ascii="標楷體" w:eastAsia="標楷體" w:hAnsi="標楷體" w:cs="Arial"/>
        </w:rPr>
        <w:t>1.</w:t>
      </w:r>
      <w:r>
        <w:rPr>
          <w:rFonts w:ascii="標楷體" w:eastAsia="標楷體" w:hAnsi="標楷體" w:cs="Arial"/>
        </w:rPr>
        <w:t>表內各欄均請</w:t>
      </w:r>
      <w:r>
        <w:rPr>
          <w:rFonts w:eastAsia="標楷體"/>
        </w:rPr>
        <w:t>以墨水筆或原子筆</w:t>
      </w:r>
      <w:r>
        <w:rPr>
          <w:rFonts w:ascii="標楷體" w:eastAsia="標楷體" w:hAnsi="標楷體" w:cs="Arial"/>
        </w:rPr>
        <w:t>詳細確實填寫，</w:t>
      </w:r>
      <w:r>
        <w:rPr>
          <w:rFonts w:ascii="標楷體" w:eastAsia="標楷體" w:hAnsi="標楷體"/>
        </w:rPr>
        <w:t>填寫錯誤或塗改處應加蓋負責人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代理人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印章。</w:t>
      </w:r>
      <w:r>
        <w:rPr>
          <w:rFonts w:ascii="標楷體" w:eastAsia="標楷體" w:hAnsi="標楷體" w:cs="Arial"/>
        </w:rPr>
        <w:t>否則以不合格標處理。</w:t>
      </w:r>
    </w:p>
    <w:p w:rsidR="006758B3" w:rsidRDefault="00A52E53">
      <w:pPr>
        <w:snapToGrid w:val="0"/>
        <w:ind w:left="240" w:hanging="240"/>
      </w:pPr>
      <w:r>
        <w:rPr>
          <w:rFonts w:ascii="標楷體" w:eastAsia="標楷體" w:hAnsi="標楷體" w:cs="Arial"/>
        </w:rPr>
        <w:t>2.</w:t>
      </w:r>
      <w:r>
        <w:rPr>
          <w:rFonts w:ascii="標楷體" w:eastAsia="標楷體" w:hAnsi="標楷體" w:cs="Arial"/>
        </w:rPr>
        <w:t>請詳閱投標須知關於投標不合格之情形；其他應注意事項詳見本案</w:t>
      </w:r>
      <w:r>
        <w:rPr>
          <w:rFonts w:ascii="標楷體" w:eastAsia="標楷體" w:hAnsi="標楷體" w:cs="DFKaiShu-SB-Estd-BF"/>
          <w:kern w:val="0"/>
        </w:rPr>
        <w:t>投標須知</w:t>
      </w:r>
      <w:r>
        <w:rPr>
          <w:rFonts w:ascii="標楷體" w:eastAsia="標楷體" w:hAnsi="標楷體" w:cs="Arial"/>
        </w:rPr>
        <w:t>。</w:t>
      </w:r>
    </w:p>
    <w:p w:rsidR="006758B3" w:rsidRDefault="006758B3">
      <w:pPr>
        <w:snapToGrid w:val="0"/>
      </w:pPr>
    </w:p>
    <w:p w:rsidR="006758B3" w:rsidRDefault="006758B3">
      <w:pPr>
        <w:snapToGrid w:val="0"/>
      </w:pPr>
    </w:p>
    <w:sectPr w:rsidR="006758B3">
      <w:footerReference w:type="default" r:id="rId8"/>
      <w:pgSz w:w="11906" w:h="16838"/>
      <w:pgMar w:top="851" w:right="851" w:bottom="851" w:left="851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53" w:rsidRDefault="00A52E53">
      <w:r>
        <w:separator/>
      </w:r>
    </w:p>
  </w:endnote>
  <w:endnote w:type="continuationSeparator" w:id="0">
    <w:p w:rsidR="00A52E53" w:rsidRDefault="00A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8A" w:rsidRDefault="00A52E53">
    <w:pPr>
      <w:pStyle w:val="a6"/>
    </w:pPr>
    <w:r>
      <w:rPr>
        <w:rFonts w:ascii="標楷體" w:eastAsia="標楷體" w:hAnsi="標楷體"/>
      </w:rPr>
      <w:t>投標單</w:t>
    </w:r>
    <w:r>
      <w:rPr>
        <w:rFonts w:ascii="標楷體" w:eastAsia="標楷體" w:hAnsi="標楷體"/>
      </w:rPr>
      <w:t xml:space="preserve">                                    </w:t>
    </w:r>
    <w:r>
      <w:rPr>
        <w:rFonts w:ascii="標楷體" w:eastAsia="標楷體" w:hAnsi="標楷體"/>
      </w:rPr>
      <w:t>第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lang w:val="zh-TW"/>
      </w:rPr>
      <w:t>，共</w:t>
    </w:r>
    <w:r>
      <w:rPr>
        <w:rFonts w:ascii="標楷體" w:eastAsia="標楷體" w:hAnsi="標楷體"/>
        <w:bCs/>
      </w:rPr>
      <w:t>2</w:t>
    </w:r>
    <w:r>
      <w:rPr>
        <w:rFonts w:ascii="標楷體" w:eastAsia="標楷體" w:hAnsi="標楷體"/>
        <w:bCs/>
      </w:rPr>
      <w:t>頁</w:t>
    </w:r>
  </w:p>
  <w:p w:rsidR="0082338A" w:rsidRDefault="00A52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53" w:rsidRDefault="00A52E53">
      <w:r>
        <w:rPr>
          <w:color w:val="000000"/>
        </w:rPr>
        <w:separator/>
      </w:r>
    </w:p>
  </w:footnote>
  <w:footnote w:type="continuationSeparator" w:id="0">
    <w:p w:rsidR="00A52E53" w:rsidRDefault="00A5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75B"/>
    <w:multiLevelType w:val="multilevel"/>
    <w:tmpl w:val="3342E2E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5094C"/>
    <w:multiLevelType w:val="multilevel"/>
    <w:tmpl w:val="9C18B31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58B3"/>
    <w:rsid w:val="004F0CB3"/>
    <w:rsid w:val="006758B3"/>
    <w:rsid w:val="00A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120"/>
      <w:ind w:left="680" w:hanging="680"/>
    </w:pPr>
    <w:rPr>
      <w:rFonts w:eastAsia="標楷體"/>
      <w:spacing w:val="2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120"/>
      <w:ind w:left="680" w:hanging="680"/>
    </w:pPr>
    <w:rPr>
      <w:rFonts w:eastAsia="標楷體"/>
      <w:spacing w:val="2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桃園縣政府工程標單</dc:title>
  <dc:creator>oa</dc:creator>
  <cp:lastModifiedBy>AEAA-SB26</cp:lastModifiedBy>
  <cp:revision>2</cp:revision>
  <cp:lastPrinted>2020-08-18T06:45:00Z</cp:lastPrinted>
  <dcterms:created xsi:type="dcterms:W3CDTF">2020-08-18T06:45:00Z</dcterms:created>
  <dcterms:modified xsi:type="dcterms:W3CDTF">2020-08-18T06:45:00Z</dcterms:modified>
</cp:coreProperties>
</file>