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0CA9" w:rsidRPr="00D370B1" w:rsidRDefault="00115E3E" w:rsidP="00860CA9">
      <w:pPr>
        <w:rPr>
          <w:rFonts w:ascii="標楷體" w:eastAsia="標楷體" w:hAnsi="標楷體"/>
          <w:sz w:val="28"/>
          <w:szCs w:val="28"/>
        </w:rPr>
      </w:pPr>
      <w:r>
        <w:rPr>
          <w:rFonts w:ascii="標楷體" w:eastAsia="標楷體" w:hAnsi="標楷體" w:hint="eastAsia"/>
          <w:sz w:val="28"/>
          <w:szCs w:val="28"/>
          <w:lang w:eastAsia="zh-HK"/>
        </w:rPr>
        <w:t>營</w:t>
      </w:r>
      <w:bookmarkStart w:id="0" w:name="_GoBack"/>
      <w:bookmarkEnd w:id="0"/>
      <w:r w:rsidR="00860CA9" w:rsidRPr="00D370B1">
        <w:rPr>
          <w:rFonts w:ascii="標楷體" w:eastAsia="標楷體" w:hAnsi="標楷體" w:hint="eastAsia"/>
          <w:sz w:val="28"/>
          <w:szCs w:val="28"/>
        </w:rPr>
        <w:t>造業承攬工程造價限額工程規模範圍申報淨值及一定期間承攬總額認定辦法</w:t>
      </w:r>
    </w:p>
    <w:p w:rsidR="00860CA9" w:rsidRPr="00D370B1" w:rsidRDefault="00860CA9" w:rsidP="00D370B1">
      <w:pPr>
        <w:ind w:leftChars="800" w:left="1920"/>
        <w:rPr>
          <w:rFonts w:ascii="標楷體" w:eastAsia="標楷體" w:hAnsi="標楷體"/>
          <w:sz w:val="20"/>
          <w:szCs w:val="20"/>
        </w:rPr>
      </w:pPr>
      <w:r w:rsidRPr="00D370B1">
        <w:rPr>
          <w:rFonts w:ascii="標楷體" w:eastAsia="標楷體" w:hAnsi="標楷體" w:hint="eastAsia"/>
          <w:sz w:val="20"/>
          <w:szCs w:val="20"/>
        </w:rPr>
        <w:t>內政部95.12.1台內營字第0950806977號令訂定</w:t>
      </w:r>
    </w:p>
    <w:p w:rsidR="00860CA9" w:rsidRPr="00D370B1" w:rsidRDefault="00860CA9" w:rsidP="00D370B1">
      <w:pPr>
        <w:ind w:leftChars="800" w:left="1920"/>
        <w:rPr>
          <w:rFonts w:ascii="標楷體" w:eastAsia="標楷體" w:hAnsi="標楷體"/>
          <w:sz w:val="20"/>
          <w:szCs w:val="20"/>
        </w:rPr>
      </w:pPr>
      <w:r w:rsidRPr="00D370B1">
        <w:rPr>
          <w:rFonts w:ascii="標楷體" w:eastAsia="標楷體" w:hAnsi="標楷體" w:hint="eastAsia"/>
          <w:sz w:val="20"/>
          <w:szCs w:val="20"/>
        </w:rPr>
        <w:t>內政部107.8.22台內營字第1070812769號令修正第二條、第四條、第四條之</w:t>
      </w:r>
      <w:proofErr w:type="gramStart"/>
      <w:r w:rsidRPr="00D370B1">
        <w:rPr>
          <w:rFonts w:ascii="標楷體" w:eastAsia="標楷體" w:hAnsi="標楷體" w:hint="eastAsia"/>
          <w:sz w:val="20"/>
          <w:szCs w:val="20"/>
        </w:rPr>
        <w:t>一</w:t>
      </w:r>
      <w:proofErr w:type="gramEnd"/>
      <w:r w:rsidRPr="00D370B1">
        <w:rPr>
          <w:rFonts w:ascii="標楷體" w:eastAsia="標楷體" w:hAnsi="標楷體" w:hint="eastAsia"/>
          <w:sz w:val="20"/>
          <w:szCs w:val="20"/>
        </w:rPr>
        <w:t>條文</w:t>
      </w:r>
    </w:p>
    <w:p w:rsidR="00860CA9" w:rsidRPr="00D370B1" w:rsidRDefault="00860CA9" w:rsidP="00860CA9">
      <w:pPr>
        <w:rPr>
          <w:rFonts w:ascii="標楷體" w:eastAsia="標楷體" w:hAnsi="標楷體"/>
          <w:sz w:val="28"/>
          <w:szCs w:val="28"/>
        </w:rPr>
      </w:pPr>
    </w:p>
    <w:p w:rsidR="00860CA9" w:rsidRPr="00D370B1" w:rsidRDefault="00860CA9" w:rsidP="00D370B1">
      <w:pPr>
        <w:ind w:left="1134" w:hangingChars="405" w:hanging="1134"/>
        <w:rPr>
          <w:rFonts w:ascii="標楷體" w:eastAsia="標楷體" w:hAnsi="標楷體"/>
          <w:sz w:val="28"/>
          <w:szCs w:val="28"/>
        </w:rPr>
      </w:pPr>
      <w:r w:rsidRPr="00D370B1">
        <w:rPr>
          <w:rFonts w:ascii="標楷體" w:eastAsia="標楷體" w:hAnsi="標楷體" w:hint="eastAsia"/>
          <w:sz w:val="28"/>
          <w:szCs w:val="28"/>
        </w:rPr>
        <w:t>第一條　本辦法依營造業法（以下簡稱本法）第二十三條第二項規定訂定之。</w:t>
      </w:r>
    </w:p>
    <w:p w:rsidR="00860CA9" w:rsidRPr="00D370B1" w:rsidRDefault="00860CA9" w:rsidP="00D370B1">
      <w:pPr>
        <w:ind w:left="1134" w:hangingChars="405" w:hanging="1134"/>
        <w:rPr>
          <w:rFonts w:ascii="標楷體" w:eastAsia="標楷體" w:hAnsi="標楷體"/>
          <w:sz w:val="28"/>
          <w:szCs w:val="28"/>
        </w:rPr>
      </w:pPr>
      <w:r w:rsidRPr="00D370B1">
        <w:rPr>
          <w:rFonts w:ascii="標楷體" w:eastAsia="標楷體" w:hAnsi="標楷體" w:hint="eastAsia"/>
          <w:sz w:val="28"/>
          <w:szCs w:val="28"/>
        </w:rPr>
        <w:t xml:space="preserve">第二條　</w:t>
      </w:r>
      <w:r w:rsidRPr="00D370B1">
        <w:rPr>
          <w:rFonts w:ascii="標楷體" w:eastAsia="標楷體" w:hAnsi="標楷體" w:hint="eastAsia"/>
          <w:color w:val="FF0000"/>
          <w:sz w:val="28"/>
          <w:szCs w:val="28"/>
        </w:rPr>
        <w:t>土木包工業承攬小型綜合營</w:t>
      </w:r>
      <w:proofErr w:type="gramStart"/>
      <w:r w:rsidRPr="00D370B1">
        <w:rPr>
          <w:rFonts w:ascii="標楷體" w:eastAsia="標楷體" w:hAnsi="標楷體" w:hint="eastAsia"/>
          <w:color w:val="FF0000"/>
          <w:sz w:val="28"/>
          <w:szCs w:val="28"/>
        </w:rPr>
        <w:t>繕</w:t>
      </w:r>
      <w:proofErr w:type="gramEnd"/>
      <w:r w:rsidRPr="00D370B1">
        <w:rPr>
          <w:rFonts w:ascii="標楷體" w:eastAsia="標楷體" w:hAnsi="標楷體" w:hint="eastAsia"/>
          <w:color w:val="FF0000"/>
          <w:sz w:val="28"/>
          <w:szCs w:val="28"/>
        </w:rPr>
        <w:t>工程造價限額為新臺幣七百二十萬元</w:t>
      </w:r>
      <w:r w:rsidRPr="00D370B1">
        <w:rPr>
          <w:rFonts w:ascii="標楷體" w:eastAsia="標楷體" w:hAnsi="標楷體" w:hint="eastAsia"/>
          <w:sz w:val="28"/>
          <w:szCs w:val="28"/>
        </w:rPr>
        <w:t>，其</w:t>
      </w:r>
      <w:r w:rsidRPr="00D370B1">
        <w:rPr>
          <w:rFonts w:ascii="標楷體" w:eastAsia="標楷體" w:hAnsi="標楷體" w:hint="eastAsia"/>
          <w:color w:val="FF0000"/>
          <w:sz w:val="28"/>
          <w:szCs w:val="28"/>
        </w:rPr>
        <w:t>承攬工程之</w:t>
      </w:r>
      <w:proofErr w:type="gramStart"/>
      <w:r w:rsidRPr="00D370B1">
        <w:rPr>
          <w:rFonts w:ascii="標楷體" w:eastAsia="標楷體" w:hAnsi="標楷體" w:hint="eastAsia"/>
          <w:color w:val="FF0000"/>
          <w:sz w:val="28"/>
          <w:szCs w:val="28"/>
        </w:rPr>
        <w:t>橋樑柱跨</w:t>
      </w:r>
      <w:proofErr w:type="gramEnd"/>
      <w:r w:rsidRPr="00D370B1">
        <w:rPr>
          <w:rFonts w:ascii="標楷體" w:eastAsia="標楷體" w:hAnsi="標楷體" w:hint="eastAsia"/>
          <w:color w:val="FF0000"/>
          <w:sz w:val="28"/>
          <w:szCs w:val="28"/>
        </w:rPr>
        <w:t>距為五公尺以下</w:t>
      </w:r>
      <w:r w:rsidRPr="00D370B1">
        <w:rPr>
          <w:rFonts w:ascii="標楷體" w:eastAsia="標楷體" w:hAnsi="標楷體" w:hint="eastAsia"/>
          <w:sz w:val="28"/>
          <w:szCs w:val="28"/>
        </w:rPr>
        <w:t>，建築物高度、建築物地下開挖深度及鋼筋混凝土擋土牆高度之規模範圍，由直轄市、縣（市）主管機關擬訂，報請中央主管機關核定。</w:t>
      </w:r>
    </w:p>
    <w:p w:rsidR="00860CA9" w:rsidRPr="00D370B1" w:rsidRDefault="00860CA9" w:rsidP="00D370B1">
      <w:pPr>
        <w:ind w:left="1134" w:hangingChars="405" w:hanging="1134"/>
        <w:rPr>
          <w:rFonts w:ascii="標楷體" w:eastAsia="標楷體" w:hAnsi="標楷體"/>
          <w:sz w:val="28"/>
          <w:szCs w:val="28"/>
        </w:rPr>
      </w:pPr>
      <w:r w:rsidRPr="00D370B1">
        <w:rPr>
          <w:rFonts w:ascii="標楷體" w:eastAsia="標楷體" w:hAnsi="標楷體" w:hint="eastAsia"/>
          <w:sz w:val="28"/>
          <w:szCs w:val="28"/>
        </w:rPr>
        <w:t>第三條　土木包工業承攬前條造價限額內之小型綜合營</w:t>
      </w:r>
      <w:proofErr w:type="gramStart"/>
      <w:r w:rsidRPr="00D370B1">
        <w:rPr>
          <w:rFonts w:ascii="標楷體" w:eastAsia="標楷體" w:hAnsi="標楷體" w:hint="eastAsia"/>
          <w:sz w:val="28"/>
          <w:szCs w:val="28"/>
        </w:rPr>
        <w:t>繕</w:t>
      </w:r>
      <w:proofErr w:type="gramEnd"/>
      <w:r w:rsidRPr="00D370B1">
        <w:rPr>
          <w:rFonts w:ascii="標楷體" w:eastAsia="標楷體" w:hAnsi="標楷體" w:hint="eastAsia"/>
          <w:sz w:val="28"/>
          <w:szCs w:val="28"/>
        </w:rPr>
        <w:t>工程，含有本法第八條所定專業工程項目，其專業工程項目金額符合下列各款規定者，得由土木包工業自行施作：</w:t>
      </w:r>
    </w:p>
    <w:p w:rsidR="00860CA9" w:rsidRPr="00D370B1" w:rsidRDefault="00860CA9" w:rsidP="00D370B1">
      <w:pPr>
        <w:ind w:leftChars="300" w:left="1274" w:hangingChars="198" w:hanging="554"/>
        <w:jc w:val="both"/>
        <w:rPr>
          <w:rFonts w:ascii="標楷體" w:eastAsia="標楷體" w:hAnsi="標楷體"/>
          <w:sz w:val="28"/>
          <w:szCs w:val="28"/>
        </w:rPr>
      </w:pPr>
      <w:r w:rsidRPr="00D370B1">
        <w:rPr>
          <w:rFonts w:ascii="標楷體" w:eastAsia="標楷體" w:hAnsi="標楷體" w:hint="eastAsia"/>
          <w:sz w:val="28"/>
          <w:szCs w:val="28"/>
        </w:rPr>
        <w:t>一、含有鋼構工程、擋土支撐及土方工程、基礎工程、施工</w:t>
      </w:r>
      <w:proofErr w:type="gramStart"/>
      <w:r w:rsidRPr="00D370B1">
        <w:rPr>
          <w:rFonts w:ascii="標楷體" w:eastAsia="標楷體" w:hAnsi="標楷體" w:hint="eastAsia"/>
          <w:sz w:val="28"/>
          <w:szCs w:val="28"/>
        </w:rPr>
        <w:t>塔架吊</w:t>
      </w:r>
      <w:proofErr w:type="gramEnd"/>
      <w:r w:rsidRPr="00D370B1">
        <w:rPr>
          <w:rFonts w:ascii="標楷體" w:eastAsia="標楷體" w:hAnsi="標楷體" w:hint="eastAsia"/>
          <w:sz w:val="28"/>
          <w:szCs w:val="28"/>
        </w:rPr>
        <w:t>裝及模版工程或地下管線工程單一工程項目金額在新臺幣</w:t>
      </w:r>
      <w:proofErr w:type="gramStart"/>
      <w:r w:rsidRPr="00D370B1">
        <w:rPr>
          <w:rFonts w:ascii="標楷體" w:eastAsia="標楷體" w:hAnsi="標楷體" w:hint="eastAsia"/>
          <w:sz w:val="28"/>
          <w:szCs w:val="28"/>
        </w:rPr>
        <w:t>三</w:t>
      </w:r>
      <w:proofErr w:type="gramEnd"/>
      <w:r w:rsidRPr="00D370B1">
        <w:rPr>
          <w:rFonts w:ascii="標楷體" w:eastAsia="標楷體" w:hAnsi="標楷體" w:hint="eastAsia"/>
          <w:sz w:val="28"/>
          <w:szCs w:val="28"/>
        </w:rPr>
        <w:t>百萬元以下。</w:t>
      </w:r>
    </w:p>
    <w:p w:rsidR="00860CA9" w:rsidRPr="00D370B1" w:rsidRDefault="00860CA9" w:rsidP="00D370B1">
      <w:pPr>
        <w:ind w:leftChars="300" w:left="1274" w:hangingChars="198" w:hanging="554"/>
        <w:jc w:val="both"/>
        <w:rPr>
          <w:rFonts w:ascii="標楷體" w:eastAsia="標楷體" w:hAnsi="標楷體"/>
          <w:sz w:val="28"/>
          <w:szCs w:val="28"/>
        </w:rPr>
      </w:pPr>
      <w:r w:rsidRPr="00D370B1">
        <w:rPr>
          <w:rFonts w:ascii="標楷體" w:eastAsia="標楷體" w:hAnsi="標楷體" w:hint="eastAsia"/>
          <w:sz w:val="28"/>
          <w:szCs w:val="28"/>
        </w:rPr>
        <w:t>二、含有預拌混凝土工程、營建鑽探工程、帷幕牆工程或環境保護工程單一工程項目金額在新臺幣二十萬元以下。</w:t>
      </w:r>
    </w:p>
    <w:p w:rsidR="00860CA9" w:rsidRPr="00D370B1" w:rsidRDefault="00860CA9" w:rsidP="00D370B1">
      <w:pPr>
        <w:ind w:leftChars="300" w:left="1274" w:hangingChars="198" w:hanging="554"/>
        <w:jc w:val="both"/>
        <w:rPr>
          <w:rFonts w:ascii="標楷體" w:eastAsia="標楷體" w:hAnsi="標楷體"/>
          <w:sz w:val="28"/>
          <w:szCs w:val="28"/>
        </w:rPr>
      </w:pPr>
      <w:r w:rsidRPr="00D370B1">
        <w:rPr>
          <w:rFonts w:ascii="標楷體" w:eastAsia="標楷體" w:hAnsi="標楷體" w:hint="eastAsia"/>
          <w:sz w:val="28"/>
          <w:szCs w:val="28"/>
        </w:rPr>
        <w:t>三、</w:t>
      </w:r>
      <w:r w:rsidRPr="00D370B1">
        <w:rPr>
          <w:rFonts w:ascii="標楷體" w:eastAsia="標楷體" w:hAnsi="標楷體" w:hint="eastAsia"/>
          <w:color w:val="FF0000"/>
          <w:sz w:val="28"/>
          <w:szCs w:val="28"/>
        </w:rPr>
        <w:t>含有庭園、景觀工程項目金額在新臺幣二百萬元以下</w:t>
      </w:r>
      <w:r w:rsidRPr="00D370B1">
        <w:rPr>
          <w:rFonts w:ascii="標楷體" w:eastAsia="標楷體" w:hAnsi="標楷體" w:hint="eastAsia"/>
          <w:sz w:val="28"/>
          <w:szCs w:val="28"/>
        </w:rPr>
        <w:t>。</w:t>
      </w:r>
    </w:p>
    <w:p w:rsidR="00860CA9" w:rsidRPr="00D370B1" w:rsidRDefault="00860CA9" w:rsidP="00D370B1">
      <w:pPr>
        <w:ind w:leftChars="300" w:left="1274" w:hangingChars="198" w:hanging="554"/>
        <w:jc w:val="both"/>
        <w:rPr>
          <w:rFonts w:ascii="標楷體" w:eastAsia="標楷體" w:hAnsi="標楷體"/>
          <w:sz w:val="28"/>
          <w:szCs w:val="28"/>
        </w:rPr>
      </w:pPr>
      <w:r w:rsidRPr="00D370B1">
        <w:rPr>
          <w:rFonts w:ascii="標楷體" w:eastAsia="標楷體" w:hAnsi="標楷體" w:hint="eastAsia"/>
          <w:sz w:val="28"/>
          <w:szCs w:val="28"/>
        </w:rPr>
        <w:t>四、</w:t>
      </w:r>
      <w:r w:rsidRPr="00D370B1">
        <w:rPr>
          <w:rFonts w:ascii="標楷體" w:eastAsia="標楷體" w:hAnsi="標楷體" w:hint="eastAsia"/>
          <w:color w:val="FF0000"/>
          <w:sz w:val="28"/>
          <w:szCs w:val="28"/>
        </w:rPr>
        <w:t>含有防水工程項目之金額在新臺幣五十萬元以下</w:t>
      </w:r>
      <w:r w:rsidRPr="00D370B1">
        <w:rPr>
          <w:rFonts w:ascii="標楷體" w:eastAsia="標楷體" w:hAnsi="標楷體" w:hint="eastAsia"/>
          <w:sz w:val="28"/>
          <w:szCs w:val="28"/>
        </w:rPr>
        <w:t>。</w:t>
      </w:r>
    </w:p>
    <w:p w:rsidR="00860CA9" w:rsidRPr="00D370B1" w:rsidRDefault="00860CA9" w:rsidP="008323DF">
      <w:pPr>
        <w:ind w:leftChars="400" w:left="960"/>
        <w:rPr>
          <w:rFonts w:ascii="標楷體" w:eastAsia="標楷體" w:hAnsi="標楷體"/>
          <w:sz w:val="28"/>
          <w:szCs w:val="28"/>
        </w:rPr>
      </w:pPr>
      <w:r w:rsidRPr="00D370B1">
        <w:rPr>
          <w:rFonts w:ascii="標楷體" w:eastAsia="標楷體" w:hAnsi="標楷體" w:hint="eastAsia"/>
          <w:sz w:val="28"/>
          <w:szCs w:val="28"/>
        </w:rPr>
        <w:lastRenderedPageBreak/>
        <w:t>土木包工業承攬前項各款專業工程項目一項以上，且各項工程金額及造價限額符合前項各款及前條規定者，土木包工業得自行施作。</w:t>
      </w:r>
    </w:p>
    <w:p w:rsidR="00860CA9" w:rsidRPr="00D370B1" w:rsidRDefault="00860CA9" w:rsidP="00D370B1">
      <w:pPr>
        <w:ind w:left="1134" w:hangingChars="405" w:hanging="1134"/>
        <w:rPr>
          <w:rFonts w:ascii="標楷體" w:eastAsia="標楷體" w:hAnsi="標楷體"/>
          <w:sz w:val="28"/>
          <w:szCs w:val="28"/>
        </w:rPr>
      </w:pPr>
      <w:r w:rsidRPr="00D370B1">
        <w:rPr>
          <w:rFonts w:ascii="標楷體" w:eastAsia="標楷體" w:hAnsi="標楷體" w:hint="eastAsia"/>
          <w:sz w:val="28"/>
          <w:szCs w:val="28"/>
        </w:rPr>
        <w:t xml:space="preserve">第四條　</w:t>
      </w:r>
      <w:r w:rsidRPr="00D370B1">
        <w:rPr>
          <w:rFonts w:ascii="標楷體" w:eastAsia="標楷體" w:hAnsi="標楷體" w:hint="eastAsia"/>
          <w:color w:val="FF0000"/>
          <w:sz w:val="28"/>
          <w:szCs w:val="28"/>
        </w:rPr>
        <w:t>丙等綜合營造業承攬造價限額為新臺幣二千七百萬元</w:t>
      </w:r>
      <w:r w:rsidRPr="00D370B1">
        <w:rPr>
          <w:rFonts w:ascii="標楷體" w:eastAsia="標楷體" w:hAnsi="標楷體" w:hint="eastAsia"/>
          <w:sz w:val="28"/>
          <w:szCs w:val="28"/>
        </w:rPr>
        <w:t>，其工程規模範圍應符合下列各款規定：</w:t>
      </w:r>
    </w:p>
    <w:p w:rsidR="00860CA9" w:rsidRPr="00D370B1" w:rsidRDefault="00860CA9" w:rsidP="00D370B1">
      <w:pPr>
        <w:ind w:leftChars="300" w:left="720"/>
        <w:rPr>
          <w:rFonts w:ascii="標楷體" w:eastAsia="標楷體" w:hAnsi="標楷體"/>
          <w:sz w:val="28"/>
          <w:szCs w:val="28"/>
        </w:rPr>
      </w:pPr>
      <w:r w:rsidRPr="00D370B1">
        <w:rPr>
          <w:rFonts w:ascii="標楷體" w:eastAsia="標楷體" w:hAnsi="標楷體" w:hint="eastAsia"/>
          <w:sz w:val="28"/>
          <w:szCs w:val="28"/>
        </w:rPr>
        <w:t>一、建築物高度二十一公尺以下。</w:t>
      </w:r>
    </w:p>
    <w:p w:rsidR="00860CA9" w:rsidRPr="00D370B1" w:rsidRDefault="00860CA9" w:rsidP="00D370B1">
      <w:pPr>
        <w:ind w:leftChars="300" w:left="720"/>
        <w:rPr>
          <w:rFonts w:ascii="標楷體" w:eastAsia="標楷體" w:hAnsi="標楷體"/>
          <w:sz w:val="28"/>
          <w:szCs w:val="28"/>
        </w:rPr>
      </w:pPr>
      <w:r w:rsidRPr="00D370B1">
        <w:rPr>
          <w:rFonts w:ascii="標楷體" w:eastAsia="標楷體" w:hAnsi="標楷體" w:hint="eastAsia"/>
          <w:sz w:val="28"/>
          <w:szCs w:val="28"/>
        </w:rPr>
        <w:t>二、建築物地下室開挖六公尺以下。</w:t>
      </w:r>
    </w:p>
    <w:p w:rsidR="00860CA9" w:rsidRPr="00D370B1" w:rsidRDefault="00860CA9" w:rsidP="00D370B1">
      <w:pPr>
        <w:ind w:leftChars="300" w:left="720"/>
        <w:rPr>
          <w:rFonts w:ascii="標楷體" w:eastAsia="標楷體" w:hAnsi="標楷體"/>
          <w:sz w:val="28"/>
          <w:szCs w:val="28"/>
        </w:rPr>
      </w:pPr>
      <w:r w:rsidRPr="00D370B1">
        <w:rPr>
          <w:rFonts w:ascii="標楷體" w:eastAsia="標楷體" w:hAnsi="標楷體" w:hint="eastAsia"/>
          <w:sz w:val="28"/>
          <w:szCs w:val="28"/>
        </w:rPr>
        <w:t>三、</w:t>
      </w:r>
      <w:proofErr w:type="gramStart"/>
      <w:r w:rsidRPr="00D370B1">
        <w:rPr>
          <w:rFonts w:ascii="標楷體" w:eastAsia="標楷體" w:hAnsi="標楷體" w:hint="eastAsia"/>
          <w:sz w:val="28"/>
          <w:szCs w:val="28"/>
        </w:rPr>
        <w:t>橋樑柱跨</w:t>
      </w:r>
      <w:proofErr w:type="gramEnd"/>
      <w:r w:rsidRPr="00D370B1">
        <w:rPr>
          <w:rFonts w:ascii="標楷體" w:eastAsia="標楷體" w:hAnsi="標楷體" w:hint="eastAsia"/>
          <w:sz w:val="28"/>
          <w:szCs w:val="28"/>
        </w:rPr>
        <w:t>距十五公尺以下。</w:t>
      </w:r>
    </w:p>
    <w:p w:rsidR="00860CA9" w:rsidRPr="00D370B1" w:rsidRDefault="00860CA9" w:rsidP="00D370B1">
      <w:pPr>
        <w:ind w:leftChars="500" w:left="1200"/>
        <w:rPr>
          <w:rFonts w:ascii="標楷體" w:eastAsia="標楷體" w:hAnsi="標楷體"/>
          <w:color w:val="FF0000"/>
          <w:sz w:val="28"/>
          <w:szCs w:val="28"/>
        </w:rPr>
      </w:pPr>
      <w:r w:rsidRPr="00D370B1">
        <w:rPr>
          <w:rFonts w:ascii="標楷體" w:eastAsia="標楷體" w:hAnsi="標楷體" w:hint="eastAsia"/>
          <w:color w:val="FF0000"/>
          <w:sz w:val="28"/>
          <w:szCs w:val="28"/>
        </w:rPr>
        <w:t>乙等綜合營造業承攬造價限額為新臺幣九千萬元，其工程規模應符合下列各款規定：</w:t>
      </w:r>
    </w:p>
    <w:p w:rsidR="00860CA9" w:rsidRPr="00D370B1" w:rsidRDefault="00860CA9" w:rsidP="00D370B1">
      <w:pPr>
        <w:ind w:leftChars="300" w:left="720"/>
        <w:rPr>
          <w:rFonts w:ascii="標楷體" w:eastAsia="標楷體" w:hAnsi="標楷體"/>
          <w:sz w:val="28"/>
          <w:szCs w:val="28"/>
        </w:rPr>
      </w:pPr>
      <w:r w:rsidRPr="00D370B1">
        <w:rPr>
          <w:rFonts w:ascii="標楷體" w:eastAsia="標楷體" w:hAnsi="標楷體" w:hint="eastAsia"/>
          <w:sz w:val="28"/>
          <w:szCs w:val="28"/>
        </w:rPr>
        <w:t>一、建築物高度三十六公尺以下。</w:t>
      </w:r>
    </w:p>
    <w:p w:rsidR="00860CA9" w:rsidRPr="00D370B1" w:rsidRDefault="00860CA9" w:rsidP="00D370B1">
      <w:pPr>
        <w:ind w:leftChars="300" w:left="720"/>
        <w:rPr>
          <w:rFonts w:ascii="標楷體" w:eastAsia="標楷體" w:hAnsi="標楷體"/>
          <w:sz w:val="28"/>
          <w:szCs w:val="28"/>
        </w:rPr>
      </w:pPr>
      <w:r w:rsidRPr="00D370B1">
        <w:rPr>
          <w:rFonts w:ascii="標楷體" w:eastAsia="標楷體" w:hAnsi="標楷體" w:hint="eastAsia"/>
          <w:sz w:val="28"/>
          <w:szCs w:val="28"/>
        </w:rPr>
        <w:t>二、建築物地下室開挖九公尺以下。</w:t>
      </w:r>
    </w:p>
    <w:p w:rsidR="00860CA9" w:rsidRPr="00D370B1" w:rsidRDefault="00860CA9" w:rsidP="00D370B1">
      <w:pPr>
        <w:ind w:leftChars="300" w:left="720"/>
        <w:rPr>
          <w:rFonts w:ascii="標楷體" w:eastAsia="標楷體" w:hAnsi="標楷體"/>
          <w:sz w:val="28"/>
          <w:szCs w:val="28"/>
        </w:rPr>
      </w:pPr>
      <w:r w:rsidRPr="00D370B1">
        <w:rPr>
          <w:rFonts w:ascii="標楷體" w:eastAsia="標楷體" w:hAnsi="標楷體" w:hint="eastAsia"/>
          <w:sz w:val="28"/>
          <w:szCs w:val="28"/>
        </w:rPr>
        <w:t>三、</w:t>
      </w:r>
      <w:proofErr w:type="gramStart"/>
      <w:r w:rsidRPr="00D370B1">
        <w:rPr>
          <w:rFonts w:ascii="標楷體" w:eastAsia="標楷體" w:hAnsi="標楷體" w:hint="eastAsia"/>
          <w:sz w:val="28"/>
          <w:szCs w:val="28"/>
        </w:rPr>
        <w:t>橋樑柱跨</w:t>
      </w:r>
      <w:proofErr w:type="gramEnd"/>
      <w:r w:rsidRPr="00D370B1">
        <w:rPr>
          <w:rFonts w:ascii="標楷體" w:eastAsia="標楷體" w:hAnsi="標楷體" w:hint="eastAsia"/>
          <w:sz w:val="28"/>
          <w:szCs w:val="28"/>
        </w:rPr>
        <w:t>距二十五公尺以下。</w:t>
      </w:r>
    </w:p>
    <w:p w:rsidR="00860CA9" w:rsidRPr="00D370B1" w:rsidRDefault="00860CA9" w:rsidP="00D370B1">
      <w:pPr>
        <w:ind w:leftChars="500" w:left="1200"/>
        <w:rPr>
          <w:rFonts w:ascii="標楷體" w:eastAsia="標楷體" w:hAnsi="標楷體"/>
          <w:color w:val="FF0000"/>
          <w:sz w:val="28"/>
          <w:szCs w:val="28"/>
        </w:rPr>
      </w:pPr>
      <w:r w:rsidRPr="00D370B1">
        <w:rPr>
          <w:rFonts w:ascii="標楷體" w:eastAsia="標楷體" w:hAnsi="標楷體" w:hint="eastAsia"/>
          <w:color w:val="FF0000"/>
          <w:sz w:val="28"/>
          <w:szCs w:val="28"/>
        </w:rPr>
        <w:t>甲等綜合營造業承攬造價限額為其資本額之十倍，其工程規模不受限制。</w:t>
      </w:r>
    </w:p>
    <w:p w:rsidR="00860CA9" w:rsidRPr="008323DF" w:rsidRDefault="00860CA9" w:rsidP="00D370B1">
      <w:pPr>
        <w:ind w:left="1417" w:hangingChars="506" w:hanging="1417"/>
        <w:rPr>
          <w:rFonts w:ascii="標楷體" w:eastAsia="標楷體" w:hAnsi="標楷體"/>
          <w:color w:val="FF0000"/>
          <w:sz w:val="28"/>
          <w:szCs w:val="28"/>
        </w:rPr>
      </w:pPr>
      <w:r w:rsidRPr="00D370B1">
        <w:rPr>
          <w:rFonts w:ascii="標楷體" w:eastAsia="標楷體" w:hAnsi="標楷體" w:hint="eastAsia"/>
          <w:sz w:val="28"/>
          <w:szCs w:val="28"/>
        </w:rPr>
        <w:t>第四條之一</w:t>
      </w:r>
      <w:r w:rsidRPr="008323DF">
        <w:rPr>
          <w:rFonts w:ascii="標楷體" w:eastAsia="標楷體" w:hAnsi="標楷體" w:hint="eastAsia"/>
          <w:color w:val="FF0000"/>
          <w:sz w:val="28"/>
          <w:szCs w:val="28"/>
        </w:rPr>
        <w:t>本辦法修正施行後，第二條及前條所定營造業未依規定辦理資本額增資者，其承攬工程造價限額適用修正施行前之規定。</w:t>
      </w:r>
    </w:p>
    <w:p w:rsidR="00860CA9" w:rsidRPr="00D370B1" w:rsidRDefault="00860CA9" w:rsidP="00860CA9">
      <w:pPr>
        <w:rPr>
          <w:rFonts w:ascii="標楷體" w:eastAsia="標楷體" w:hAnsi="標楷體"/>
          <w:sz w:val="28"/>
          <w:szCs w:val="28"/>
        </w:rPr>
      </w:pPr>
      <w:r w:rsidRPr="00D370B1">
        <w:rPr>
          <w:rFonts w:ascii="標楷體" w:eastAsia="標楷體" w:hAnsi="標楷體" w:hint="eastAsia"/>
          <w:sz w:val="28"/>
          <w:szCs w:val="28"/>
        </w:rPr>
        <w:t>第五條　專業營造業承攬造價限額為其資本額之十倍，其工程規模不受限制。</w:t>
      </w:r>
    </w:p>
    <w:p w:rsidR="00860CA9" w:rsidRPr="00D370B1" w:rsidRDefault="00860CA9" w:rsidP="00860CA9">
      <w:pPr>
        <w:rPr>
          <w:rFonts w:ascii="標楷體" w:eastAsia="標楷體" w:hAnsi="標楷體"/>
          <w:sz w:val="28"/>
          <w:szCs w:val="28"/>
        </w:rPr>
      </w:pPr>
      <w:r w:rsidRPr="00D370B1">
        <w:rPr>
          <w:rFonts w:ascii="標楷體" w:eastAsia="標楷體" w:hAnsi="標楷體" w:hint="eastAsia"/>
          <w:sz w:val="28"/>
          <w:szCs w:val="28"/>
        </w:rPr>
        <w:t>第六條　本法第二十三條第一項所定一定期間為一年。</w:t>
      </w:r>
    </w:p>
    <w:p w:rsidR="00860CA9" w:rsidRPr="00D370B1" w:rsidRDefault="00860CA9" w:rsidP="00D370B1">
      <w:pPr>
        <w:ind w:left="1134" w:hangingChars="405" w:hanging="1134"/>
        <w:rPr>
          <w:rFonts w:ascii="標楷體" w:eastAsia="標楷體" w:hAnsi="標楷體"/>
          <w:sz w:val="28"/>
          <w:szCs w:val="28"/>
        </w:rPr>
      </w:pPr>
      <w:r w:rsidRPr="00D370B1">
        <w:rPr>
          <w:rFonts w:ascii="標楷體" w:eastAsia="標楷體" w:hAnsi="標楷體" w:hint="eastAsia"/>
          <w:sz w:val="28"/>
          <w:szCs w:val="28"/>
        </w:rPr>
        <w:lastRenderedPageBreak/>
        <w:t>第七條　營造業應於每年六月一日至七月三十一日間檢附承攬工程手冊及前一年或最近一年營利事業所得申報書或經會計師簽證資產負債表，向登記所在地直轄市、縣（市）主管機關申報淨值及承攬總額。</w:t>
      </w:r>
    </w:p>
    <w:p w:rsidR="00860CA9" w:rsidRPr="00D370B1" w:rsidRDefault="00860CA9" w:rsidP="00D370B1">
      <w:pPr>
        <w:ind w:leftChars="400" w:left="960"/>
        <w:rPr>
          <w:rFonts w:ascii="標楷體" w:eastAsia="標楷體" w:hAnsi="標楷體"/>
          <w:sz w:val="28"/>
          <w:szCs w:val="28"/>
        </w:rPr>
      </w:pPr>
      <w:r w:rsidRPr="00D370B1">
        <w:rPr>
          <w:rFonts w:ascii="標楷體" w:eastAsia="標楷體" w:hAnsi="標楷體" w:hint="eastAsia"/>
          <w:sz w:val="28"/>
          <w:szCs w:val="28"/>
        </w:rPr>
        <w:t>營造業之淨值，以其檢附之前一年或最近一年營利事業所得申報書或經會計師簽證資產負債表所載金額認定之。</w:t>
      </w:r>
    </w:p>
    <w:p w:rsidR="00860CA9" w:rsidRPr="00D370B1" w:rsidRDefault="00860CA9" w:rsidP="00D370B1">
      <w:pPr>
        <w:ind w:leftChars="400" w:left="960"/>
        <w:rPr>
          <w:rFonts w:ascii="標楷體" w:eastAsia="標楷體" w:hAnsi="標楷體"/>
          <w:sz w:val="28"/>
          <w:szCs w:val="28"/>
        </w:rPr>
      </w:pPr>
      <w:r w:rsidRPr="00D370B1">
        <w:rPr>
          <w:rFonts w:ascii="標楷體" w:eastAsia="標楷體" w:hAnsi="標楷體" w:hint="eastAsia"/>
          <w:sz w:val="28"/>
          <w:szCs w:val="28"/>
        </w:rPr>
        <w:t>於前一期淨值申報</w:t>
      </w:r>
      <w:proofErr w:type="gramStart"/>
      <w:r w:rsidRPr="00D370B1">
        <w:rPr>
          <w:rFonts w:ascii="標楷體" w:eastAsia="標楷體" w:hAnsi="標楷體" w:hint="eastAsia"/>
          <w:sz w:val="28"/>
          <w:szCs w:val="28"/>
        </w:rPr>
        <w:t>期間前</w:t>
      </w:r>
      <w:proofErr w:type="gramEnd"/>
      <w:r w:rsidRPr="00D370B1">
        <w:rPr>
          <w:rFonts w:ascii="標楷體" w:eastAsia="標楷體" w:hAnsi="標楷體" w:hint="eastAsia"/>
          <w:sz w:val="28"/>
          <w:szCs w:val="28"/>
        </w:rPr>
        <w:t>設立且尚未申報營利事業所得，或於當期淨值申報期間後始設立之營造業，以其登記資本額為淨值。</w:t>
      </w:r>
    </w:p>
    <w:p w:rsidR="00860CA9" w:rsidRPr="00D370B1" w:rsidRDefault="00860CA9" w:rsidP="00D370B1">
      <w:pPr>
        <w:ind w:left="991" w:hangingChars="354" w:hanging="991"/>
        <w:rPr>
          <w:rFonts w:ascii="標楷體" w:eastAsia="標楷體" w:hAnsi="標楷體"/>
          <w:sz w:val="28"/>
          <w:szCs w:val="28"/>
        </w:rPr>
      </w:pPr>
      <w:r w:rsidRPr="00D370B1">
        <w:rPr>
          <w:rFonts w:ascii="標楷體" w:eastAsia="標楷體" w:hAnsi="標楷體" w:hint="eastAsia"/>
          <w:sz w:val="28"/>
          <w:szCs w:val="28"/>
        </w:rPr>
        <w:t>第八條　營造業未於前條第一項所定期間內申報淨值者，其當期淨值認定方式如下：</w:t>
      </w:r>
    </w:p>
    <w:p w:rsidR="00860CA9" w:rsidRPr="00D370B1" w:rsidRDefault="00860CA9" w:rsidP="00D370B1">
      <w:pPr>
        <w:ind w:leftChars="200" w:left="480"/>
        <w:rPr>
          <w:rFonts w:ascii="標楷體" w:eastAsia="標楷體" w:hAnsi="標楷體"/>
          <w:sz w:val="28"/>
          <w:szCs w:val="28"/>
        </w:rPr>
      </w:pPr>
      <w:r w:rsidRPr="00D370B1">
        <w:rPr>
          <w:rFonts w:ascii="標楷體" w:eastAsia="標楷體" w:hAnsi="標楷體" w:hint="eastAsia"/>
          <w:sz w:val="28"/>
          <w:szCs w:val="28"/>
        </w:rPr>
        <w:t>一、其前期淨值高於登記資本額者，以其登記資本額為當期淨值。</w:t>
      </w:r>
    </w:p>
    <w:p w:rsidR="00860CA9" w:rsidRPr="00D370B1" w:rsidRDefault="00860CA9" w:rsidP="00D370B1">
      <w:pPr>
        <w:ind w:leftChars="200" w:left="480"/>
        <w:rPr>
          <w:rFonts w:ascii="標楷體" w:eastAsia="標楷體" w:hAnsi="標楷體"/>
          <w:sz w:val="28"/>
          <w:szCs w:val="28"/>
        </w:rPr>
      </w:pPr>
      <w:r w:rsidRPr="00D370B1">
        <w:rPr>
          <w:rFonts w:ascii="標楷體" w:eastAsia="標楷體" w:hAnsi="標楷體" w:hint="eastAsia"/>
          <w:sz w:val="28"/>
          <w:szCs w:val="28"/>
        </w:rPr>
        <w:t>二、其前期淨值低於登記資本額者，以其前期淨值為認定。</w:t>
      </w:r>
    </w:p>
    <w:p w:rsidR="00860CA9" w:rsidRPr="00D370B1" w:rsidRDefault="00860CA9" w:rsidP="00D370B1">
      <w:pPr>
        <w:ind w:leftChars="200" w:left="1132" w:hangingChars="233" w:hanging="652"/>
        <w:rPr>
          <w:rFonts w:ascii="標楷體" w:eastAsia="標楷體" w:hAnsi="標楷體"/>
          <w:sz w:val="28"/>
          <w:szCs w:val="28"/>
        </w:rPr>
      </w:pPr>
      <w:r w:rsidRPr="00D370B1">
        <w:rPr>
          <w:rFonts w:ascii="標楷體" w:eastAsia="標楷體" w:hAnsi="標楷體" w:hint="eastAsia"/>
          <w:sz w:val="28"/>
          <w:szCs w:val="28"/>
        </w:rPr>
        <w:t>三、本辦法發布施行前已設立之營造業，於本辦法發布施行後已申報營利事業所得而未依前條規定辦理者，直轄市、縣（市）主管機關得報經財政部核定後，洽請稅捐</w:t>
      </w:r>
      <w:proofErr w:type="gramStart"/>
      <w:r w:rsidRPr="00D370B1">
        <w:rPr>
          <w:rFonts w:ascii="標楷體" w:eastAsia="標楷體" w:hAnsi="標楷體" w:hint="eastAsia"/>
          <w:sz w:val="28"/>
          <w:szCs w:val="28"/>
        </w:rPr>
        <w:t>稽</w:t>
      </w:r>
      <w:proofErr w:type="gramEnd"/>
      <w:r w:rsidRPr="00D370B1">
        <w:rPr>
          <w:rFonts w:ascii="標楷體" w:eastAsia="標楷體" w:hAnsi="標楷體" w:hint="eastAsia"/>
          <w:sz w:val="28"/>
          <w:szCs w:val="28"/>
        </w:rPr>
        <w:t>徵機關提供該營造業當期營利事業所得稅申報書資產負債表所載之淨值，認定之。</w:t>
      </w:r>
    </w:p>
    <w:p w:rsidR="00860CA9" w:rsidRPr="00D370B1" w:rsidRDefault="00860CA9" w:rsidP="00D370B1">
      <w:pPr>
        <w:ind w:left="1134" w:hangingChars="405" w:hanging="1134"/>
        <w:rPr>
          <w:rFonts w:ascii="標楷體" w:eastAsia="標楷體" w:hAnsi="標楷體"/>
          <w:sz w:val="28"/>
          <w:szCs w:val="28"/>
        </w:rPr>
      </w:pPr>
      <w:r w:rsidRPr="00D370B1">
        <w:rPr>
          <w:rFonts w:ascii="標楷體" w:eastAsia="標楷體" w:hAnsi="標楷體" w:hint="eastAsia"/>
          <w:sz w:val="28"/>
          <w:szCs w:val="28"/>
        </w:rPr>
        <w:t>第九條　營造業承攬總額，以承攬工程手冊中工程記載表登記之已簽約而未完工工程之承攬造價扣除已完成估驗計價部分金額（含保留款）後之總和計算之。營造業應檢附該工程完成估驗計價部分之統一發票提供核對。</w:t>
      </w:r>
    </w:p>
    <w:p w:rsidR="00860CA9" w:rsidRPr="00D370B1" w:rsidRDefault="00860CA9" w:rsidP="00D370B1">
      <w:pPr>
        <w:ind w:leftChars="472" w:left="1133"/>
        <w:rPr>
          <w:rFonts w:ascii="標楷體" w:eastAsia="標楷體" w:hAnsi="標楷體"/>
          <w:sz w:val="28"/>
          <w:szCs w:val="28"/>
        </w:rPr>
      </w:pPr>
      <w:r w:rsidRPr="00D370B1">
        <w:rPr>
          <w:rFonts w:ascii="標楷體" w:eastAsia="標楷體" w:hAnsi="標楷體" w:hint="eastAsia"/>
          <w:sz w:val="28"/>
          <w:szCs w:val="28"/>
        </w:rPr>
        <w:lastRenderedPageBreak/>
        <w:t>承攬工程估驗結算表及承攬總額</w:t>
      </w:r>
      <w:proofErr w:type="gramStart"/>
      <w:r w:rsidRPr="00D370B1">
        <w:rPr>
          <w:rFonts w:ascii="標楷體" w:eastAsia="標楷體" w:hAnsi="標楷體" w:hint="eastAsia"/>
          <w:sz w:val="28"/>
          <w:szCs w:val="28"/>
        </w:rPr>
        <w:t>結算表如附表一</w:t>
      </w:r>
      <w:proofErr w:type="gramEnd"/>
      <w:r w:rsidRPr="00D370B1">
        <w:rPr>
          <w:rFonts w:ascii="標楷體" w:eastAsia="標楷體" w:hAnsi="標楷體" w:hint="eastAsia"/>
          <w:sz w:val="28"/>
          <w:szCs w:val="28"/>
        </w:rPr>
        <w:t>及附表二。</w:t>
      </w:r>
    </w:p>
    <w:p w:rsidR="00860CA9" w:rsidRPr="00D370B1" w:rsidRDefault="00860CA9" w:rsidP="00D370B1">
      <w:pPr>
        <w:ind w:left="1134" w:hangingChars="405" w:hanging="1134"/>
        <w:rPr>
          <w:rFonts w:ascii="標楷體" w:eastAsia="標楷體" w:hAnsi="標楷體"/>
          <w:sz w:val="28"/>
          <w:szCs w:val="28"/>
        </w:rPr>
      </w:pPr>
      <w:r w:rsidRPr="00D370B1">
        <w:rPr>
          <w:rFonts w:ascii="標楷體" w:eastAsia="標楷體" w:hAnsi="標楷體" w:hint="eastAsia"/>
          <w:sz w:val="28"/>
          <w:szCs w:val="28"/>
        </w:rPr>
        <w:t>第十條　營造業聯合承攬工程時，其承攬金額按契約之各營造業聯合承攬協議書所載出資比例分別計算；承攬總額按前條規定計算之。</w:t>
      </w:r>
    </w:p>
    <w:p w:rsidR="00860CA9" w:rsidRPr="00D370B1" w:rsidRDefault="00860CA9" w:rsidP="008323DF">
      <w:pPr>
        <w:ind w:left="1417" w:hangingChars="506" w:hanging="1417"/>
        <w:rPr>
          <w:rFonts w:ascii="標楷體" w:eastAsia="標楷體" w:hAnsi="標楷體"/>
          <w:sz w:val="28"/>
          <w:szCs w:val="28"/>
        </w:rPr>
      </w:pPr>
      <w:r w:rsidRPr="00D370B1">
        <w:rPr>
          <w:rFonts w:ascii="標楷體" w:eastAsia="標楷體" w:hAnsi="標楷體" w:hint="eastAsia"/>
          <w:sz w:val="28"/>
          <w:szCs w:val="28"/>
        </w:rPr>
        <w:t>第十一條　營造業承攬工程契約約定之工作項目非屬營造業營業範圍者，由</w:t>
      </w:r>
      <w:proofErr w:type="gramStart"/>
      <w:r w:rsidRPr="00D370B1">
        <w:rPr>
          <w:rFonts w:ascii="標楷體" w:eastAsia="標楷體" w:hAnsi="標楷體" w:hint="eastAsia"/>
          <w:sz w:val="28"/>
          <w:szCs w:val="28"/>
        </w:rPr>
        <w:t>定作</w:t>
      </w:r>
      <w:proofErr w:type="gramEnd"/>
      <w:r w:rsidRPr="00D370B1">
        <w:rPr>
          <w:rFonts w:ascii="標楷體" w:eastAsia="標楷體" w:hAnsi="標楷體" w:hint="eastAsia"/>
          <w:sz w:val="28"/>
          <w:szCs w:val="28"/>
        </w:rPr>
        <w:t>人出具金額證明，得不計入承攬總額。</w:t>
      </w:r>
    </w:p>
    <w:p w:rsidR="00783259" w:rsidRPr="00D370B1" w:rsidRDefault="00860CA9" w:rsidP="008323DF">
      <w:pPr>
        <w:ind w:left="1417" w:hangingChars="506" w:hanging="1417"/>
        <w:rPr>
          <w:rFonts w:ascii="標楷體" w:eastAsia="標楷體" w:hAnsi="標楷體"/>
          <w:sz w:val="28"/>
          <w:szCs w:val="28"/>
        </w:rPr>
      </w:pPr>
      <w:r w:rsidRPr="00D370B1">
        <w:rPr>
          <w:rFonts w:ascii="標楷體" w:eastAsia="標楷體" w:hAnsi="標楷體" w:hint="eastAsia"/>
          <w:sz w:val="28"/>
          <w:szCs w:val="28"/>
        </w:rPr>
        <w:t>第十二條　綜合營造業轉交專業營造業承攬之工程，經專業營造業申請記載於承攬工程手冊者，該工程金額得不計入該綜合營造業承攬總額。</w:t>
      </w:r>
    </w:p>
    <w:sectPr w:rsidR="00783259" w:rsidRPr="00D370B1" w:rsidSect="00860CA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CA9"/>
    <w:rsid w:val="00115E3E"/>
    <w:rsid w:val="00257FC9"/>
    <w:rsid w:val="00750EC0"/>
    <w:rsid w:val="008002F2"/>
    <w:rsid w:val="008323DF"/>
    <w:rsid w:val="00846E7D"/>
    <w:rsid w:val="00860CA9"/>
    <w:rsid w:val="00CE0C15"/>
    <w:rsid w:val="00D370B1"/>
    <w:rsid w:val="00FD752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F2"/>
  </w:style>
  <w:style w:type="paragraph" w:styleId="1">
    <w:name w:val="heading 1"/>
    <w:basedOn w:val="a"/>
    <w:next w:val="a"/>
    <w:link w:val="10"/>
    <w:uiPriority w:val="9"/>
    <w:qFormat/>
    <w:rsid w:val="008002F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樣式1"/>
    <w:basedOn w:val="a"/>
    <w:link w:val="12"/>
    <w:qFormat/>
    <w:rsid w:val="008002F2"/>
    <w:rPr>
      <w:rFonts w:asciiTheme="majorEastAsia" w:eastAsiaTheme="majorEastAsia" w:hAnsiTheme="majorEastAsia"/>
    </w:rPr>
  </w:style>
  <w:style w:type="character" w:customStyle="1" w:styleId="12">
    <w:name w:val="樣式1 字元"/>
    <w:basedOn w:val="a0"/>
    <w:link w:val="11"/>
    <w:rsid w:val="008002F2"/>
    <w:rPr>
      <w:rFonts w:asciiTheme="majorEastAsia" w:eastAsiaTheme="majorEastAsia" w:hAnsiTheme="majorEastAsia"/>
    </w:rPr>
  </w:style>
  <w:style w:type="paragraph" w:customStyle="1" w:styleId="2">
    <w:name w:val="樣式2"/>
    <w:basedOn w:val="a"/>
    <w:link w:val="20"/>
    <w:qFormat/>
    <w:rsid w:val="008002F2"/>
  </w:style>
  <w:style w:type="character" w:customStyle="1" w:styleId="20">
    <w:name w:val="樣式2 字元"/>
    <w:basedOn w:val="a0"/>
    <w:link w:val="2"/>
    <w:rsid w:val="008002F2"/>
  </w:style>
  <w:style w:type="character" w:customStyle="1" w:styleId="10">
    <w:name w:val="標題 1 字元"/>
    <w:basedOn w:val="a0"/>
    <w:link w:val="1"/>
    <w:uiPriority w:val="9"/>
    <w:rsid w:val="008002F2"/>
    <w:rPr>
      <w:rFonts w:asciiTheme="majorHAnsi" w:eastAsiaTheme="majorEastAsia" w:hAnsiTheme="majorHAnsi" w:cstheme="majorBidi"/>
      <w:b/>
      <w:bCs/>
      <w:kern w:val="52"/>
      <w:sz w:val="52"/>
      <w:szCs w:val="52"/>
    </w:rPr>
  </w:style>
  <w:style w:type="paragraph" w:styleId="a3">
    <w:name w:val="No Spacing"/>
    <w:autoRedefine/>
    <w:uiPriority w:val="1"/>
    <w:qFormat/>
    <w:rsid w:val="008002F2"/>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02F2"/>
  </w:style>
  <w:style w:type="paragraph" w:styleId="1">
    <w:name w:val="heading 1"/>
    <w:basedOn w:val="a"/>
    <w:next w:val="a"/>
    <w:link w:val="10"/>
    <w:uiPriority w:val="9"/>
    <w:qFormat/>
    <w:rsid w:val="008002F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樣式1"/>
    <w:basedOn w:val="a"/>
    <w:link w:val="12"/>
    <w:qFormat/>
    <w:rsid w:val="008002F2"/>
    <w:rPr>
      <w:rFonts w:asciiTheme="majorEastAsia" w:eastAsiaTheme="majorEastAsia" w:hAnsiTheme="majorEastAsia"/>
    </w:rPr>
  </w:style>
  <w:style w:type="character" w:customStyle="1" w:styleId="12">
    <w:name w:val="樣式1 字元"/>
    <w:basedOn w:val="a0"/>
    <w:link w:val="11"/>
    <w:rsid w:val="008002F2"/>
    <w:rPr>
      <w:rFonts w:asciiTheme="majorEastAsia" w:eastAsiaTheme="majorEastAsia" w:hAnsiTheme="majorEastAsia"/>
    </w:rPr>
  </w:style>
  <w:style w:type="paragraph" w:customStyle="1" w:styleId="2">
    <w:name w:val="樣式2"/>
    <w:basedOn w:val="a"/>
    <w:link w:val="20"/>
    <w:qFormat/>
    <w:rsid w:val="008002F2"/>
  </w:style>
  <w:style w:type="character" w:customStyle="1" w:styleId="20">
    <w:name w:val="樣式2 字元"/>
    <w:basedOn w:val="a0"/>
    <w:link w:val="2"/>
    <w:rsid w:val="008002F2"/>
  </w:style>
  <w:style w:type="character" w:customStyle="1" w:styleId="10">
    <w:name w:val="標題 1 字元"/>
    <w:basedOn w:val="a0"/>
    <w:link w:val="1"/>
    <w:uiPriority w:val="9"/>
    <w:rsid w:val="008002F2"/>
    <w:rPr>
      <w:rFonts w:asciiTheme="majorHAnsi" w:eastAsiaTheme="majorEastAsia" w:hAnsiTheme="majorHAnsi" w:cstheme="majorBidi"/>
      <w:b/>
      <w:bCs/>
      <w:kern w:val="52"/>
      <w:sz w:val="52"/>
      <w:szCs w:val="52"/>
    </w:rPr>
  </w:style>
  <w:style w:type="paragraph" w:styleId="a3">
    <w:name w:val="No Spacing"/>
    <w:autoRedefine/>
    <w:uiPriority w:val="1"/>
    <w:qFormat/>
    <w:rsid w:val="008002F2"/>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238</Words>
  <Characters>1357</Characters>
  <Application>Microsoft Office Word</Application>
  <DocSecurity>0</DocSecurity>
  <Lines>11</Lines>
  <Paragraphs>3</Paragraphs>
  <ScaleCrop>false</ScaleCrop>
  <Company/>
  <LinksUpToDate>false</LinksUpToDate>
  <CharactersWithSpaces>1592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許巧華</dc:creator>
  <cp:lastModifiedBy>許巧華</cp:lastModifiedBy>
  <cp:revision>5</cp:revision>
  <dcterms:created xsi:type="dcterms:W3CDTF">2018-12-04T10:34:00Z</dcterms:created>
  <dcterms:modified xsi:type="dcterms:W3CDTF">2019-01-16T07:54:00Z</dcterms:modified>
</cp:coreProperties>
</file>