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0" w:rsidRPr="00C543D0" w:rsidRDefault="00C543D0" w:rsidP="00C543D0">
      <w:pPr>
        <w:widowControl/>
        <w:spacing w:before="150" w:after="150"/>
        <w:ind w:left="150" w:right="150"/>
        <w:jc w:val="center"/>
        <w:outlineLvl w:val="4"/>
        <w:rPr>
          <w:rFonts w:ascii="標楷體" w:eastAsia="標楷體" w:hAnsi="標楷體" w:cs="新細明體" w:hint="eastAsia"/>
          <w:b/>
          <w:bCs/>
          <w:color w:val="FF0000"/>
          <w:spacing w:val="60"/>
          <w:kern w:val="0"/>
          <w:sz w:val="36"/>
          <w:szCs w:val="36"/>
        </w:rPr>
      </w:pPr>
      <w:r w:rsidRPr="00C543D0">
        <w:rPr>
          <w:rFonts w:ascii="標楷體" w:eastAsia="標楷體" w:hAnsi="標楷體" w:cs="新細明體" w:hint="eastAsia"/>
          <w:b/>
          <w:bCs/>
          <w:color w:val="FF0000"/>
          <w:spacing w:val="60"/>
          <w:kern w:val="0"/>
          <w:sz w:val="36"/>
          <w:szCs w:val="36"/>
        </w:rPr>
        <w:t>合作社監事監查規則</w:t>
      </w:r>
      <w:r w:rsidRPr="00C543D0">
        <w:rPr>
          <w:rFonts w:ascii="新細明體" w:eastAsia="新細明體" w:hAnsi="新細明體" w:cs="新細明體" w:hint="eastAsia"/>
          <w:color w:val="00BF9C"/>
          <w:kern w:val="0"/>
          <w:sz w:val="20"/>
          <w:szCs w:val="20"/>
        </w:rPr>
        <w:t>(民國105年9月29日發布)</w:t>
      </w:r>
    </w:p>
    <w:p w:rsidR="00C543D0" w:rsidRPr="00C543D0" w:rsidRDefault="00C543D0" w:rsidP="00C543D0">
      <w:pPr>
        <w:widowControl/>
        <w:numPr>
          <w:ilvl w:val="0"/>
          <w:numId w:val="1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第1條：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本規則依合作社法第三十九條第三項規定訂定之。</w:t>
      </w:r>
    </w:p>
    <w:p w:rsidR="00C543D0" w:rsidRPr="00C543D0" w:rsidRDefault="00C543D0" w:rsidP="00C543D0">
      <w:pPr>
        <w:widowControl/>
        <w:numPr>
          <w:ilvl w:val="0"/>
          <w:numId w:val="1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第2條：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監事輪值及分擔職務規定，由監事會決定之。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監事得個別行使第六條規定之監查事項。但提請理事會辦理之事項，應先經監事會通過。</w:t>
      </w:r>
    </w:p>
    <w:p w:rsidR="00C543D0" w:rsidRPr="00C543D0" w:rsidRDefault="00C543D0" w:rsidP="00C543D0">
      <w:pPr>
        <w:widowControl/>
        <w:numPr>
          <w:ilvl w:val="0"/>
          <w:numId w:val="1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第3條：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監事行使第六條規定之監查事項，不得影響合作社事務之進行。</w:t>
      </w:r>
    </w:p>
    <w:p w:rsidR="00C543D0" w:rsidRPr="00C543D0" w:rsidRDefault="00C543D0" w:rsidP="00C543D0">
      <w:pPr>
        <w:widowControl/>
        <w:numPr>
          <w:ilvl w:val="0"/>
          <w:numId w:val="1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第4條：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監事會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得置監查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員若干人，必要時得設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監查室負責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業務及財務之稽核，稽核結果應提請監事會審定之。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監事依法執行職務時，得由監事會調派監查員協助辦理。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監查員經監事會遴選或同意後，由理事會任用之。</w:t>
      </w:r>
    </w:p>
    <w:p w:rsidR="00C543D0" w:rsidRPr="00C543D0" w:rsidRDefault="00C543D0" w:rsidP="00C543D0">
      <w:pPr>
        <w:widowControl/>
        <w:numPr>
          <w:ilvl w:val="0"/>
          <w:numId w:val="1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第5條：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監查工作，每半年至少舉行定期實地檢查一次，並得隨時抽查庫存與其他社務及業務。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前項定期實地檢查，每次以一天為原則，必要時得延長之。</w:t>
      </w:r>
    </w:p>
    <w:p w:rsidR="00C543D0" w:rsidRPr="00C543D0" w:rsidRDefault="00C543D0" w:rsidP="00C543D0">
      <w:pPr>
        <w:widowControl/>
        <w:numPr>
          <w:ilvl w:val="0"/>
          <w:numId w:val="1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第6條：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監查之事項如下：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事務、會計、組織及管理。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法令之遵守情形。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章程及相關規定之遵守情形。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社員大會或社員代表大會、社務會、理事會、監事會及其他會議決議案之執行情形。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社員名簿、檔案與</w:t>
      </w:r>
      <w:proofErr w:type="gramStart"/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帳冊</w:t>
      </w:r>
      <w:proofErr w:type="gramEnd"/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之整理及保存情形。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業務計畫之執行及運營方法之檢討。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各項收入。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各項支出。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現金、存款與各項流動資產之出納及管理。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lastRenderedPageBreak/>
        <w:t>固定資產之取得、處分及保管。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財產之管理及運用。</w:t>
      </w:r>
    </w:p>
    <w:p w:rsidR="00C543D0" w:rsidRPr="00C543D0" w:rsidRDefault="00C543D0" w:rsidP="00C543D0">
      <w:pPr>
        <w:widowControl/>
        <w:numPr>
          <w:ilvl w:val="1"/>
          <w:numId w:val="2"/>
        </w:numPr>
        <w:spacing w:before="150" w:after="60"/>
        <w:ind w:left="2160" w:right="150"/>
        <w:rPr>
          <w:rFonts w:ascii="新細明體" w:eastAsia="新細明體" w:hAnsi="新細明體" w:cs="新細明體" w:hint="eastAsia"/>
          <w:color w:val="007DFF"/>
          <w:kern w:val="0"/>
          <w:szCs w:val="24"/>
        </w:rPr>
      </w:pPr>
      <w:r w:rsidRPr="00C543D0">
        <w:rPr>
          <w:rFonts w:ascii="新細明體" w:eastAsia="新細明體" w:hAnsi="新細明體" w:cs="新細明體" w:hint="eastAsia"/>
          <w:color w:val="007DFF"/>
          <w:kern w:val="0"/>
          <w:szCs w:val="24"/>
        </w:rPr>
        <w:t>預算及決算之審核。</w:t>
      </w:r>
    </w:p>
    <w:p w:rsidR="00C543D0" w:rsidRPr="00C543D0" w:rsidRDefault="00C543D0" w:rsidP="00C543D0">
      <w:pPr>
        <w:widowControl/>
        <w:numPr>
          <w:ilvl w:val="1"/>
          <w:numId w:val="3"/>
        </w:numPr>
        <w:spacing w:before="150" w:after="150"/>
        <w:ind w:left="1590" w:firstLine="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前項第十二款決算之審核，應依第六條之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一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及第六條之二規定辦理。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第6條之1：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監事會於收受理事會所送業務報告書、資產負債表、收支餘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絀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表、財產目錄及結餘分配或短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絀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分擔案等法定書類後，應即開始辦理決算之審核。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 xml:space="preserve">前項審核，由全體監事互推一人至數人負責辦理。但其審核結果，應由監事會以會議方法決定之。 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第6條之2：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 xml:space="preserve">監事會決算審核完畢後，應製作審核報告，並由全體監事連署後，連同理事會所送各項書類，至少於社員大會或社員代表大會開會三日前，送還理事會。 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第7條：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監事監查時，得請理事會提供各種簿冊、書表及其他依法應備之書類。必要時，並可請理事或有關職員說明。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第8條：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監事會應置備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監查簿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，將監查時間、監查人、監查結果及送請理事會辦理要點，分別記載。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監事監查結果應向監事會提出監查報告，並由監事會送請理事會辦理。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第9條：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前條送請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理事會辦理事項，理事會應以書面答復。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第10條：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年度結束，監事會應提出書面報告，將監查結果報告社員大會或社員代表大會。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第11條：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除依前條規定提出報告者外，監事與監查員對於因監查而知悉之社務、業務及財務情形，應保守秘密，不得對外散布。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違反前項規定，致合作社權益受損時，除依有關法令辦理外，主管機關得解除監事職權，合作社得免除監查員職務。</w:t>
      </w:r>
    </w:p>
    <w:p w:rsidR="00C543D0" w:rsidRPr="00C543D0" w:rsidRDefault="00C543D0" w:rsidP="00C543D0">
      <w:pPr>
        <w:widowControl/>
        <w:numPr>
          <w:ilvl w:val="0"/>
          <w:numId w:val="3"/>
        </w:numPr>
        <w:spacing w:before="150" w:after="150"/>
        <w:ind w:left="870" w:hanging="600"/>
        <w:rPr>
          <w:rFonts w:ascii="新細明體" w:eastAsia="新細明體" w:hAnsi="新細明體" w:cs="新細明體" w:hint="eastAsia"/>
          <w:kern w:val="0"/>
          <w:sz w:val="27"/>
          <w:szCs w:val="27"/>
        </w:rPr>
      </w:pP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lastRenderedPageBreak/>
        <w:t>第12條：</w:t>
      </w:r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br/>
        <w:t>本辦法於合作社聯合社，</w:t>
      </w:r>
      <w:proofErr w:type="gramStart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準</w:t>
      </w:r>
      <w:proofErr w:type="gramEnd"/>
      <w:r w:rsidRPr="00C543D0">
        <w:rPr>
          <w:rFonts w:ascii="新細明體" w:eastAsia="新細明體" w:hAnsi="新細明體" w:cs="新細明體" w:hint="eastAsia"/>
          <w:kern w:val="0"/>
          <w:sz w:val="27"/>
          <w:szCs w:val="27"/>
        </w:rPr>
        <w:t>用之。</w:t>
      </w:r>
    </w:p>
    <w:p w:rsidR="00CD25F4" w:rsidRPr="00C543D0" w:rsidRDefault="00CD25F4">
      <w:bookmarkStart w:id="0" w:name="_GoBack"/>
      <w:bookmarkEnd w:id="0"/>
    </w:p>
    <w:sectPr w:rsidR="00CD25F4" w:rsidRPr="00C54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F46"/>
    <w:multiLevelType w:val="multilevel"/>
    <w:tmpl w:val="E59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B45B5"/>
    <w:multiLevelType w:val="multilevel"/>
    <w:tmpl w:val="ECB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F6102"/>
    <w:multiLevelType w:val="multilevel"/>
    <w:tmpl w:val="A352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0"/>
    <w:rsid w:val="00C543D0"/>
    <w:rsid w:val="00C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2016-11-16T09:05:00Z</dcterms:created>
  <dcterms:modified xsi:type="dcterms:W3CDTF">2016-11-16T09:10:00Z</dcterms:modified>
</cp:coreProperties>
</file>