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CB" w:rsidRDefault="00033BCB" w:rsidP="00471547">
      <w:pPr>
        <w:tabs>
          <w:tab w:val="left" w:pos="2552"/>
        </w:tabs>
        <w:jc w:val="center"/>
        <w:rPr>
          <w:rFonts w:ascii="標楷體" w:eastAsia="標楷體" w:hAnsi="標楷體"/>
          <w:sz w:val="40"/>
          <w:szCs w:val="40"/>
        </w:rPr>
      </w:pPr>
      <w:bookmarkStart w:id="0" w:name="_GoBack"/>
      <w:r w:rsidRPr="00D840CD">
        <w:rPr>
          <w:rFonts w:ascii="標楷體" w:eastAsia="標楷體" w:hAnsi="標楷體" w:hint="eastAsia"/>
          <w:sz w:val="40"/>
          <w:szCs w:val="40"/>
        </w:rPr>
        <w:t>財團法人基金計算及認定基準辦法</w:t>
      </w:r>
    </w:p>
    <w:bookmarkEnd w:id="0"/>
    <w:p w:rsidR="008E55DD" w:rsidRPr="008E55DD" w:rsidRDefault="007C4516" w:rsidP="007C4516">
      <w:pPr>
        <w:pStyle w:val="aa"/>
        <w:numPr>
          <w:ilvl w:val="0"/>
          <w:numId w:val="3"/>
        </w:numPr>
        <w:overflowPunct w:val="0"/>
        <w:ind w:leftChars="0" w:left="854" w:hanging="854"/>
        <w:jc w:val="both"/>
        <w:rPr>
          <w:rFonts w:ascii="標楷體" w:hAnsi="標楷體"/>
        </w:rPr>
      </w:pPr>
      <w:r>
        <w:rPr>
          <w:rFonts w:ascii="標楷體" w:hAnsi="標楷體" w:hint="eastAsia"/>
        </w:rPr>
        <w:t xml:space="preserve">    </w:t>
      </w:r>
      <w:r w:rsidR="008E55DD" w:rsidRPr="008E55DD">
        <w:rPr>
          <w:rFonts w:ascii="標楷體" w:hAnsi="標楷體" w:hint="eastAsia"/>
        </w:rPr>
        <w:t>本辦法依財團法人法</w:t>
      </w:r>
      <w:r w:rsidR="008E55DD" w:rsidRPr="008E55DD">
        <w:rPr>
          <w:rFonts w:ascii="標楷體" w:hAnsi="標楷體"/>
        </w:rPr>
        <w:t>(以下簡稱本法)第二條第六項規定訂定之。</w:t>
      </w:r>
    </w:p>
    <w:p w:rsidR="008E55DD" w:rsidRPr="00D840CD" w:rsidRDefault="005575F7" w:rsidP="006F0216">
      <w:pPr>
        <w:pStyle w:val="aa"/>
        <w:numPr>
          <w:ilvl w:val="0"/>
          <w:numId w:val="3"/>
        </w:numPr>
        <w:overflowPunct w:val="0"/>
        <w:ind w:leftChars="0" w:left="1134" w:hanging="1134"/>
        <w:jc w:val="both"/>
        <w:rPr>
          <w:rFonts w:ascii="標楷體" w:hAnsi="標楷體"/>
        </w:rPr>
      </w:pPr>
      <w:r>
        <w:rPr>
          <w:rFonts w:ascii="標楷體" w:hAnsi="標楷體" w:hint="eastAsia"/>
        </w:rPr>
        <w:t xml:space="preserve">  </w:t>
      </w:r>
      <w:r w:rsidR="008E55DD" w:rsidRPr="00D840CD">
        <w:rPr>
          <w:rFonts w:ascii="標楷體" w:hAnsi="標楷體" w:hint="eastAsia"/>
        </w:rPr>
        <w:t>財團法人之基金，應就下列財產累計計算之：</w:t>
      </w:r>
    </w:p>
    <w:p w:rsidR="008E55DD" w:rsidRPr="008E55DD" w:rsidRDefault="008E55DD" w:rsidP="007C4516">
      <w:pPr>
        <w:pStyle w:val="aa"/>
        <w:numPr>
          <w:ilvl w:val="0"/>
          <w:numId w:val="4"/>
        </w:numPr>
        <w:overflowPunct w:val="0"/>
        <w:ind w:leftChars="0" w:left="2127" w:hanging="671"/>
        <w:jc w:val="both"/>
        <w:rPr>
          <w:rFonts w:ascii="標楷體" w:hAnsi="標楷體"/>
        </w:rPr>
      </w:pPr>
      <w:r w:rsidRPr="008E55DD">
        <w:rPr>
          <w:rFonts w:ascii="標楷體" w:hAnsi="標楷體" w:hint="eastAsia"/>
        </w:rPr>
        <w:t>捐助財產：捐助人於財團法人設立時，以捐助章程或遺囑所捐助之財產。</w:t>
      </w:r>
    </w:p>
    <w:p w:rsidR="008E55DD" w:rsidRPr="00D840CD" w:rsidRDefault="008E55DD" w:rsidP="007C4516">
      <w:pPr>
        <w:pStyle w:val="aa"/>
        <w:numPr>
          <w:ilvl w:val="0"/>
          <w:numId w:val="4"/>
        </w:numPr>
        <w:overflowPunct w:val="0"/>
        <w:ind w:leftChars="0" w:left="2127" w:hanging="671"/>
        <w:jc w:val="both"/>
        <w:rPr>
          <w:rFonts w:ascii="標楷體" w:hAnsi="標楷體"/>
        </w:rPr>
      </w:pPr>
      <w:r w:rsidRPr="00D840CD">
        <w:rPr>
          <w:rFonts w:ascii="標楷體" w:hAnsi="標楷體" w:hint="eastAsia"/>
        </w:rPr>
        <w:t>財團法人設立後，因接受捐贈、購入或其他原因取得，並經董事會決議列入基金之財產。</w:t>
      </w:r>
    </w:p>
    <w:p w:rsidR="008E55DD" w:rsidRDefault="008E55DD" w:rsidP="007C4516">
      <w:pPr>
        <w:pStyle w:val="aa"/>
        <w:numPr>
          <w:ilvl w:val="0"/>
          <w:numId w:val="4"/>
        </w:numPr>
        <w:overflowPunct w:val="0"/>
        <w:ind w:leftChars="0" w:left="2127" w:hanging="671"/>
        <w:jc w:val="both"/>
        <w:rPr>
          <w:rFonts w:ascii="標楷體" w:hAnsi="標楷體"/>
        </w:rPr>
      </w:pPr>
      <w:r w:rsidRPr="00D840CD">
        <w:rPr>
          <w:rFonts w:ascii="標楷體" w:hAnsi="標楷體" w:hint="eastAsia"/>
        </w:rPr>
        <w:t>依法令規定應列入基金之財產：財團法人依法律、法律授權之法規命令、自治條例或自治條例授權之自治規則所定應列入基金之財產。</w:t>
      </w:r>
    </w:p>
    <w:p w:rsidR="00E15955" w:rsidRDefault="009D3FD2" w:rsidP="006F0216">
      <w:pPr>
        <w:pStyle w:val="aa"/>
        <w:numPr>
          <w:ilvl w:val="0"/>
          <w:numId w:val="3"/>
        </w:numPr>
        <w:overflowPunct w:val="0"/>
        <w:ind w:leftChars="0" w:left="1134" w:hanging="1134"/>
        <w:jc w:val="both"/>
        <w:rPr>
          <w:rFonts w:ascii="標楷體" w:hAnsi="標楷體"/>
        </w:rPr>
      </w:pPr>
      <w:r>
        <w:rPr>
          <w:rFonts w:ascii="標楷體" w:hAnsi="標楷體" w:hint="eastAsia"/>
        </w:rPr>
        <w:t xml:space="preserve">　</w:t>
      </w:r>
      <w:r w:rsidR="00E15955" w:rsidRPr="00D840CD">
        <w:rPr>
          <w:rFonts w:ascii="標楷體" w:hAnsi="標楷體" w:hint="eastAsia"/>
        </w:rPr>
        <w:t>財團法人基金之各項財產，依下列規定計算其數額：</w:t>
      </w:r>
    </w:p>
    <w:p w:rsidR="00E15955" w:rsidRDefault="00E15955" w:rsidP="007C4516">
      <w:pPr>
        <w:pStyle w:val="aa"/>
        <w:numPr>
          <w:ilvl w:val="0"/>
          <w:numId w:val="1"/>
        </w:numPr>
        <w:overflowPunct w:val="0"/>
        <w:adjustRightInd w:val="0"/>
        <w:snapToGrid w:val="0"/>
        <w:ind w:leftChars="0" w:left="2127" w:hanging="671"/>
        <w:jc w:val="both"/>
        <w:rPr>
          <w:rFonts w:ascii="標楷體" w:hAnsi="標楷體"/>
        </w:rPr>
      </w:pPr>
      <w:r w:rsidRPr="00E15955">
        <w:rPr>
          <w:rFonts w:ascii="標楷體" w:hAnsi="標楷體" w:hint="eastAsia"/>
        </w:rPr>
        <w:t>現金：依捐助或董事會決議列入基金時，新臺幣金額計算。新臺幣以外之貨幣，以捐助日或董事會決議列入基金當日之前一辦公日臺灣銀行外匯交易收盤即期買入匯率折算。</w:t>
      </w:r>
    </w:p>
    <w:p w:rsidR="00E15955" w:rsidRPr="00E15955" w:rsidRDefault="00E15955" w:rsidP="007C4516">
      <w:pPr>
        <w:pStyle w:val="aa"/>
        <w:numPr>
          <w:ilvl w:val="0"/>
          <w:numId w:val="1"/>
        </w:numPr>
        <w:overflowPunct w:val="0"/>
        <w:adjustRightInd w:val="0"/>
        <w:snapToGrid w:val="0"/>
        <w:ind w:leftChars="0" w:left="2127" w:hanging="671"/>
        <w:jc w:val="both"/>
        <w:rPr>
          <w:rFonts w:ascii="標楷體" w:hAnsi="標楷體"/>
        </w:rPr>
      </w:pPr>
      <w:r w:rsidRPr="00E15955">
        <w:rPr>
          <w:rFonts w:ascii="標楷體" w:hAnsi="標楷體" w:hint="eastAsia"/>
        </w:rPr>
        <w:t>上市（櫃）、興櫃股票：以捐助日或董事會決議列入基金當日之收盤價或加權平均成交價格計算；捐助日或董事會決議列入基金當日無交易價格者，以捐助日或董事會決議列入基金當日後第一個有交易價格日之收盤價或加權平均成交價格計算。</w:t>
      </w:r>
    </w:p>
    <w:p w:rsidR="00E15955" w:rsidRPr="00D840CD" w:rsidRDefault="00E15955" w:rsidP="007C4516">
      <w:pPr>
        <w:pStyle w:val="aa"/>
        <w:numPr>
          <w:ilvl w:val="0"/>
          <w:numId w:val="1"/>
        </w:numPr>
        <w:overflowPunct w:val="0"/>
        <w:adjustRightInd w:val="0"/>
        <w:snapToGrid w:val="0"/>
        <w:ind w:leftChars="0" w:left="2127" w:hanging="657"/>
        <w:jc w:val="both"/>
        <w:rPr>
          <w:rFonts w:ascii="標楷體" w:hAnsi="標楷體"/>
        </w:rPr>
      </w:pPr>
      <w:r w:rsidRPr="00D840CD">
        <w:rPr>
          <w:rFonts w:ascii="標楷體" w:hAnsi="標楷體" w:hint="eastAsia"/>
        </w:rPr>
        <w:t>未上市（櫃）、興櫃股票：以捐助日或董事會決議列入基金當日最近一期之財務報告每股淨值計算。</w:t>
      </w:r>
    </w:p>
    <w:p w:rsidR="00E15955" w:rsidRPr="00D840CD" w:rsidRDefault="00E15955" w:rsidP="007C4516">
      <w:pPr>
        <w:pStyle w:val="aa"/>
        <w:numPr>
          <w:ilvl w:val="0"/>
          <w:numId w:val="1"/>
        </w:numPr>
        <w:overflowPunct w:val="0"/>
        <w:adjustRightInd w:val="0"/>
        <w:snapToGrid w:val="0"/>
        <w:ind w:leftChars="0" w:left="2127" w:hanging="657"/>
        <w:jc w:val="both"/>
        <w:rPr>
          <w:rFonts w:ascii="標楷體" w:hAnsi="標楷體"/>
        </w:rPr>
      </w:pPr>
      <w:r w:rsidRPr="00D840CD">
        <w:rPr>
          <w:rFonts w:ascii="標楷體" w:hAnsi="標楷體" w:hint="eastAsia"/>
        </w:rPr>
        <w:t>土地、房屋、具有文化資產價值之文物、古蹟或其他非屬現金之財產，有出價取得證明者，依其實際取得成本計算；無出價取得證明者，以具有公信力之鑑價或其他方式證明價額之文件計算。</w:t>
      </w:r>
    </w:p>
    <w:p w:rsidR="00E15955" w:rsidRPr="00D840CD" w:rsidRDefault="00E15955" w:rsidP="007C4516">
      <w:pPr>
        <w:pStyle w:val="aa"/>
        <w:numPr>
          <w:ilvl w:val="0"/>
          <w:numId w:val="1"/>
        </w:numPr>
        <w:overflowPunct w:val="0"/>
        <w:adjustRightInd w:val="0"/>
        <w:snapToGrid w:val="0"/>
        <w:ind w:leftChars="0" w:left="2127" w:hanging="643"/>
        <w:jc w:val="both"/>
        <w:rPr>
          <w:rFonts w:ascii="標楷體" w:hAnsi="標楷體"/>
        </w:rPr>
      </w:pPr>
      <w:r w:rsidRPr="00D840CD">
        <w:rPr>
          <w:rFonts w:ascii="標楷體" w:hAnsi="標楷體" w:hint="eastAsia"/>
        </w:rPr>
        <w:t>未能依前款規定證明時，依下列規定計算：</w:t>
      </w:r>
    </w:p>
    <w:p w:rsidR="00211470" w:rsidRDefault="00E15955" w:rsidP="006F0216">
      <w:pPr>
        <w:pStyle w:val="aa"/>
        <w:numPr>
          <w:ilvl w:val="0"/>
          <w:numId w:val="2"/>
        </w:numPr>
        <w:overflowPunct w:val="0"/>
        <w:adjustRightInd w:val="0"/>
        <w:snapToGrid w:val="0"/>
        <w:ind w:leftChars="0" w:left="2694" w:hanging="851"/>
        <w:jc w:val="both"/>
        <w:rPr>
          <w:rFonts w:ascii="標楷體" w:hAnsi="標楷體"/>
        </w:rPr>
      </w:pPr>
      <w:r w:rsidRPr="00211470">
        <w:rPr>
          <w:rFonts w:ascii="標楷體" w:hAnsi="標楷體" w:hint="eastAsia"/>
        </w:rPr>
        <w:lastRenderedPageBreak/>
        <w:t>土地：依捐助或董事會決議列入基金時公告土地現值並按捐助或董事會決議列入基金時政府已發布最近臺灣地區消費者物價總指數調整至土地取得年度之價值計</w:t>
      </w:r>
      <w:r w:rsidR="00DF776E">
        <w:rPr>
          <w:rFonts w:ascii="標楷體" w:hAnsi="標楷體" w:hint="eastAsia"/>
        </w:rPr>
        <w:t>算</w:t>
      </w:r>
      <w:r w:rsidRPr="00211470">
        <w:rPr>
          <w:rFonts w:ascii="標楷體" w:hAnsi="標楷體" w:hint="eastAsia"/>
        </w:rPr>
        <w:t>。但依都市計畫法指定之公共設施保留地及經政府闢為公眾通行道路之土地，依捐助或董事會決議列入基金時公告土地現值百分之十六計算。</w:t>
      </w:r>
    </w:p>
    <w:p w:rsidR="00211470" w:rsidRPr="00211470" w:rsidRDefault="00E15955" w:rsidP="006F0216">
      <w:pPr>
        <w:pStyle w:val="aa"/>
        <w:numPr>
          <w:ilvl w:val="0"/>
          <w:numId w:val="2"/>
        </w:numPr>
        <w:overflowPunct w:val="0"/>
        <w:adjustRightInd w:val="0"/>
        <w:snapToGrid w:val="0"/>
        <w:ind w:leftChars="0" w:left="2694" w:hanging="851"/>
        <w:jc w:val="both"/>
        <w:rPr>
          <w:rFonts w:ascii="標楷體" w:hAnsi="標楷體"/>
        </w:rPr>
      </w:pPr>
      <w:r w:rsidRPr="00211470">
        <w:rPr>
          <w:rFonts w:ascii="標楷體" w:hAnsi="標楷體" w:hint="eastAsia"/>
        </w:rPr>
        <w:t>房屋：依捐助或董事會決議列入基金時房屋評定標準價格並按捐助或董事會決議列入基金時政府已發布最近臺灣地區消費者物價總指數調整至房屋取得年度之價值計算。</w:t>
      </w:r>
    </w:p>
    <w:p w:rsidR="00E15955" w:rsidRDefault="00E15955" w:rsidP="006F0216">
      <w:pPr>
        <w:pStyle w:val="aa"/>
        <w:numPr>
          <w:ilvl w:val="0"/>
          <w:numId w:val="2"/>
        </w:numPr>
        <w:overflowPunct w:val="0"/>
        <w:adjustRightInd w:val="0"/>
        <w:snapToGrid w:val="0"/>
        <w:ind w:leftChars="0" w:left="2694" w:hanging="851"/>
        <w:jc w:val="both"/>
        <w:rPr>
          <w:rFonts w:ascii="標楷體" w:hAnsi="標楷體"/>
        </w:rPr>
      </w:pPr>
      <w:r w:rsidRPr="00211470">
        <w:rPr>
          <w:rFonts w:ascii="標楷體" w:hAnsi="標楷體" w:hint="eastAsia"/>
        </w:rPr>
        <w:t>具有文化資產價值之文物、古蹟：依該文物、古蹟目的事業主管機關核發之價值證明所載金額，或該財團法人出具含有捐助或董事會決議列入基金時時價並經該目的事業主管機關備查有案之證明所載金額計算。</w:t>
      </w:r>
    </w:p>
    <w:p w:rsidR="00211470" w:rsidRDefault="007C4516" w:rsidP="007C4516">
      <w:pPr>
        <w:pStyle w:val="aa"/>
        <w:numPr>
          <w:ilvl w:val="0"/>
          <w:numId w:val="3"/>
        </w:numPr>
        <w:overflowPunct w:val="0"/>
        <w:ind w:leftChars="0" w:left="840" w:hanging="840"/>
        <w:jc w:val="both"/>
        <w:rPr>
          <w:rFonts w:ascii="標楷體" w:hAnsi="標楷體"/>
        </w:rPr>
      </w:pPr>
      <w:r>
        <w:rPr>
          <w:rFonts w:ascii="標楷體" w:hAnsi="標楷體" w:hint="eastAsia"/>
        </w:rPr>
        <w:t xml:space="preserve">    </w:t>
      </w:r>
      <w:r w:rsidR="00211470" w:rsidRPr="00D840CD">
        <w:rPr>
          <w:rFonts w:ascii="標楷體" w:hAnsi="標楷體" w:hint="eastAsia"/>
        </w:rPr>
        <w:t>財團法人列入基金之財產，有下列情形之一者，應計算為政府機關</w:t>
      </w:r>
      <w:r w:rsidR="00211470" w:rsidRPr="00D840CD">
        <w:rPr>
          <w:rFonts w:ascii="標楷體" w:hAnsi="標楷體"/>
        </w:rPr>
        <w:t>(構)、公法人、公營事業或政府捐助之財團法人之捐助財產或捐贈並列入基金之財產：</w:t>
      </w:r>
    </w:p>
    <w:p w:rsidR="00211470" w:rsidRPr="00D840CD" w:rsidRDefault="00211470" w:rsidP="007C4516">
      <w:pPr>
        <w:pStyle w:val="aa"/>
        <w:numPr>
          <w:ilvl w:val="0"/>
          <w:numId w:val="5"/>
        </w:numPr>
        <w:overflowPunct w:val="0"/>
        <w:ind w:leftChars="601" w:left="2010" w:hangingChars="203" w:hanging="568"/>
        <w:jc w:val="both"/>
        <w:rPr>
          <w:rFonts w:ascii="標楷體" w:hAnsi="標楷體"/>
        </w:rPr>
      </w:pPr>
      <w:r w:rsidRPr="00D840CD">
        <w:rPr>
          <w:rFonts w:ascii="標楷體" w:hAnsi="標楷體" w:hint="eastAsia"/>
        </w:rPr>
        <w:t>財團法人設立登記時，接受中央或地方政府</w:t>
      </w:r>
      <w:r w:rsidRPr="00D840CD">
        <w:rPr>
          <w:rFonts w:ascii="標楷體" w:hAnsi="標楷體"/>
        </w:rPr>
        <w:t>(含特種基金)、公法人、公營事業(含未民營化前之公營事業)、政府捐助之財團法人、已</w:t>
      </w:r>
      <w:r w:rsidR="00696BDD">
        <w:rPr>
          <w:rFonts w:ascii="標楷體" w:hAnsi="標楷體" w:hint="eastAsia"/>
        </w:rPr>
        <w:t>裁撤</w:t>
      </w:r>
      <w:r w:rsidRPr="00D840CD">
        <w:rPr>
          <w:rFonts w:ascii="標楷體" w:hAnsi="標楷體"/>
        </w:rPr>
        <w:t>政府機關(含特種基金)捐助之財產，或已依法解散政府捐助之財團法人捐助之賸餘財產。</w:t>
      </w:r>
    </w:p>
    <w:p w:rsidR="00211470" w:rsidRPr="00D840CD" w:rsidRDefault="00211470" w:rsidP="007C4516">
      <w:pPr>
        <w:pStyle w:val="aa"/>
        <w:numPr>
          <w:ilvl w:val="0"/>
          <w:numId w:val="5"/>
        </w:numPr>
        <w:overflowPunct w:val="0"/>
        <w:ind w:leftChars="611" w:left="2040" w:hangingChars="205" w:hanging="574"/>
        <w:jc w:val="both"/>
        <w:rPr>
          <w:rFonts w:ascii="標楷體" w:hAnsi="標楷體"/>
        </w:rPr>
      </w:pPr>
      <w:r w:rsidRPr="00D840CD">
        <w:rPr>
          <w:rFonts w:ascii="標楷體" w:hAnsi="標楷體" w:hint="eastAsia"/>
        </w:rPr>
        <w:t>財團法人設立登記後，接受中央或地方政府</w:t>
      </w:r>
      <w:r w:rsidRPr="00D840CD">
        <w:rPr>
          <w:rFonts w:ascii="標楷體" w:hAnsi="標楷體"/>
        </w:rPr>
        <w:t>(含特種基金)、公法人、公營事業(含未民營化前之公營事業)、政府捐助之財團法人、已</w:t>
      </w:r>
      <w:r>
        <w:rPr>
          <w:rFonts w:ascii="標楷體" w:hAnsi="標楷體" w:hint="eastAsia"/>
        </w:rPr>
        <w:t>裁撤</w:t>
      </w:r>
      <w:r w:rsidRPr="00D840CD">
        <w:rPr>
          <w:rFonts w:ascii="標楷體" w:hAnsi="標楷體"/>
        </w:rPr>
        <w:t>政府機關(含特種基金)捐贈之財產，或已依法解散政府捐助之財團法人捐贈之賸餘財產。</w:t>
      </w:r>
    </w:p>
    <w:p w:rsidR="00211470" w:rsidRDefault="00211470" w:rsidP="007C4516">
      <w:pPr>
        <w:pStyle w:val="aa"/>
        <w:numPr>
          <w:ilvl w:val="0"/>
          <w:numId w:val="5"/>
        </w:numPr>
        <w:overflowPunct w:val="0"/>
        <w:ind w:leftChars="624" w:left="2083" w:hangingChars="209" w:hanging="585"/>
        <w:jc w:val="both"/>
        <w:rPr>
          <w:rFonts w:ascii="標楷體" w:hAnsi="標楷體"/>
        </w:rPr>
      </w:pPr>
      <w:r w:rsidRPr="00D840CD">
        <w:rPr>
          <w:rFonts w:ascii="標楷體" w:hAnsi="標楷體" w:hint="eastAsia"/>
        </w:rPr>
        <w:lastRenderedPageBreak/>
        <w:t>賸餘或公積轉列基金，如以當期賸餘或公積轉列時，依轉列時捐助及捐贈並列入基金合計數占基金總額之比率乘以轉列金額計算</w:t>
      </w:r>
      <w:r>
        <w:rPr>
          <w:rFonts w:ascii="標楷體" w:hAnsi="標楷體" w:hint="eastAsia"/>
        </w:rPr>
        <w:t>其</w:t>
      </w:r>
      <w:r w:rsidRPr="00D840CD">
        <w:rPr>
          <w:rFonts w:ascii="標楷體" w:hAnsi="標楷體" w:hint="eastAsia"/>
        </w:rPr>
        <w:t>數額；如以前一會計年度以前累積賸餘或公積轉列時，依轉列年度期初捐助及捐贈</w:t>
      </w:r>
      <w:r>
        <w:rPr>
          <w:rFonts w:ascii="標楷體" w:hAnsi="標楷體" w:hint="eastAsia"/>
        </w:rPr>
        <w:t>並列入</w:t>
      </w:r>
      <w:r w:rsidRPr="00D840CD">
        <w:rPr>
          <w:rFonts w:ascii="標楷體" w:hAnsi="標楷體" w:hint="eastAsia"/>
        </w:rPr>
        <w:t>基金合計數占基金總額之比率乘以轉列金額計算</w:t>
      </w:r>
      <w:r>
        <w:rPr>
          <w:rFonts w:ascii="標楷體" w:hAnsi="標楷體" w:hint="eastAsia"/>
        </w:rPr>
        <w:t>其</w:t>
      </w:r>
      <w:r w:rsidRPr="00D840CD">
        <w:rPr>
          <w:rFonts w:ascii="標楷體" w:hAnsi="標楷體" w:hint="eastAsia"/>
        </w:rPr>
        <w:t>數額。但於本法施行前，已轉列之基金，依主管機關原計算方式認定。</w:t>
      </w:r>
    </w:p>
    <w:p w:rsidR="00211470" w:rsidRDefault="00211470" w:rsidP="00DF776E">
      <w:pPr>
        <w:overflowPunct w:val="0"/>
        <w:spacing w:line="480" w:lineRule="exact"/>
        <w:ind w:leftChars="379" w:left="910" w:firstLineChars="185" w:firstLine="518"/>
        <w:jc w:val="both"/>
        <w:rPr>
          <w:rFonts w:ascii="標楷體" w:eastAsia="標楷體" w:hAnsi="標楷體" w:cstheme="minorBidi"/>
          <w:sz w:val="28"/>
          <w:szCs w:val="28"/>
        </w:rPr>
      </w:pPr>
      <w:r w:rsidRPr="00211470">
        <w:rPr>
          <w:rFonts w:ascii="標楷體" w:eastAsia="標楷體" w:hAnsi="標楷體" w:cstheme="minorBidi" w:hint="eastAsia"/>
          <w:sz w:val="28"/>
          <w:szCs w:val="28"/>
        </w:rPr>
        <w:t>財團法人列入基金之財產，扣除前項財產後，應計算為民間之捐助財產或捐贈並列入基金之財產。</w:t>
      </w:r>
    </w:p>
    <w:p w:rsidR="00211470" w:rsidRDefault="00D5704E" w:rsidP="00DF776E">
      <w:pPr>
        <w:overflowPunct w:val="0"/>
        <w:spacing w:line="480" w:lineRule="exact"/>
        <w:ind w:leftChars="472" w:left="1133" w:firstLineChars="100" w:firstLine="280"/>
        <w:jc w:val="both"/>
        <w:rPr>
          <w:rFonts w:ascii="標楷體" w:eastAsia="標楷體" w:hAnsi="標楷體" w:cstheme="minorBidi"/>
          <w:sz w:val="28"/>
          <w:szCs w:val="28"/>
        </w:rPr>
      </w:pPr>
      <w:r>
        <w:rPr>
          <w:rFonts w:ascii="標楷體" w:eastAsia="標楷體" w:hAnsi="標楷體" w:cstheme="minorBidi" w:hint="eastAsia"/>
          <w:sz w:val="28"/>
          <w:szCs w:val="28"/>
        </w:rPr>
        <w:t>前二</w:t>
      </w:r>
      <w:r w:rsidR="00211470" w:rsidRPr="00211470">
        <w:rPr>
          <w:rFonts w:ascii="標楷體" w:eastAsia="標楷體" w:hAnsi="標楷體" w:cstheme="minorBidi" w:hint="eastAsia"/>
          <w:sz w:val="28"/>
          <w:szCs w:val="28"/>
        </w:rPr>
        <w:t>項規定，於減列基金時，準用之。</w:t>
      </w:r>
    </w:p>
    <w:p w:rsidR="00211470" w:rsidRDefault="007C4516" w:rsidP="007C4516">
      <w:pPr>
        <w:pStyle w:val="aa"/>
        <w:numPr>
          <w:ilvl w:val="0"/>
          <w:numId w:val="3"/>
        </w:numPr>
        <w:overflowPunct w:val="0"/>
        <w:ind w:leftChars="0" w:left="840" w:hanging="840"/>
        <w:jc w:val="both"/>
        <w:rPr>
          <w:rFonts w:ascii="標楷體" w:hAnsi="標楷體"/>
        </w:rPr>
      </w:pPr>
      <w:r>
        <w:rPr>
          <w:rFonts w:ascii="標楷體" w:hAnsi="標楷體" w:hint="eastAsia"/>
        </w:rPr>
        <w:t xml:space="preserve">    </w:t>
      </w:r>
      <w:r w:rsidR="00211470" w:rsidRPr="00D840CD">
        <w:rPr>
          <w:rFonts w:ascii="標楷體" w:hAnsi="標楷體" w:hint="eastAsia"/>
        </w:rPr>
        <w:t>財團法人前三年度受捐贈之財產、基金孳息及其他各項收入之總額，其用於捐助章程所定業務項目之支出總額，應達百分之六十，始得將設立登記後取得之財產列入基金。</w:t>
      </w:r>
    </w:p>
    <w:p w:rsidR="007C4516" w:rsidRDefault="009D3FD2" w:rsidP="007C4516">
      <w:pPr>
        <w:pStyle w:val="aa"/>
        <w:overflowPunct w:val="0"/>
        <w:ind w:leftChars="600" w:left="1958" w:hangingChars="185" w:hanging="518"/>
        <w:jc w:val="both"/>
        <w:rPr>
          <w:rFonts w:ascii="標楷體" w:hAnsi="標楷體"/>
        </w:rPr>
      </w:pPr>
      <w:r>
        <w:rPr>
          <w:rFonts w:ascii="標楷體" w:hAnsi="標楷體" w:hint="eastAsia"/>
        </w:rPr>
        <w:t xml:space="preserve">　</w:t>
      </w:r>
      <w:r w:rsidR="00211470" w:rsidRPr="00D840CD">
        <w:rPr>
          <w:rFonts w:ascii="標楷體" w:hAnsi="標楷體" w:hint="eastAsia"/>
        </w:rPr>
        <w:t>前項規定，有下列情形之一者，不適用之：</w:t>
      </w:r>
    </w:p>
    <w:p w:rsidR="007C4516" w:rsidRDefault="007C4516" w:rsidP="007C4516">
      <w:pPr>
        <w:pStyle w:val="aa"/>
        <w:overflowPunct w:val="0"/>
        <w:ind w:leftChars="600" w:left="1958" w:hangingChars="185" w:hanging="518"/>
        <w:jc w:val="both"/>
        <w:rPr>
          <w:rFonts w:ascii="標楷體" w:hAnsi="標楷體"/>
        </w:rPr>
      </w:pPr>
      <w:r>
        <w:rPr>
          <w:rFonts w:ascii="標楷體" w:hAnsi="標楷體" w:hint="eastAsia"/>
        </w:rPr>
        <w:t>一、</w:t>
      </w:r>
      <w:r w:rsidR="00C233AD" w:rsidRPr="00C233AD">
        <w:rPr>
          <w:rFonts w:ascii="標楷體" w:hAnsi="標楷體" w:hint="eastAsia"/>
        </w:rPr>
        <w:t>財團法人基金總額為新臺幣五千萬元以下。</w:t>
      </w:r>
    </w:p>
    <w:p w:rsidR="007C4516" w:rsidRDefault="007C4516" w:rsidP="007C4516">
      <w:pPr>
        <w:pStyle w:val="aa"/>
        <w:overflowPunct w:val="0"/>
        <w:ind w:leftChars="600" w:left="1958" w:hangingChars="185" w:hanging="518"/>
        <w:jc w:val="both"/>
        <w:rPr>
          <w:rFonts w:ascii="標楷體" w:hAnsi="標楷體"/>
        </w:rPr>
      </w:pPr>
      <w:r>
        <w:rPr>
          <w:rFonts w:ascii="標楷體" w:hAnsi="標楷體" w:hint="eastAsia"/>
        </w:rPr>
        <w:t>二、</w:t>
      </w:r>
      <w:r w:rsidR="00C233AD" w:rsidRPr="00C233AD">
        <w:rPr>
          <w:rFonts w:ascii="標楷體" w:hAnsi="標楷體" w:hint="eastAsia"/>
        </w:rPr>
        <w:t>政府捐助之財團法人經主管機關審認基於執行特定政策目的而有將財產列入基金之必要。</w:t>
      </w:r>
    </w:p>
    <w:p w:rsidR="00C233AD" w:rsidRPr="00C233AD" w:rsidRDefault="007C4516" w:rsidP="007C4516">
      <w:pPr>
        <w:pStyle w:val="aa"/>
        <w:overflowPunct w:val="0"/>
        <w:ind w:leftChars="600" w:left="1958" w:hangingChars="185" w:hanging="518"/>
        <w:jc w:val="both"/>
        <w:rPr>
          <w:rFonts w:ascii="標楷體" w:hAnsi="標楷體"/>
        </w:rPr>
      </w:pPr>
      <w:r>
        <w:rPr>
          <w:rFonts w:ascii="標楷體" w:hAnsi="標楷體" w:hint="eastAsia"/>
        </w:rPr>
        <w:t>三、</w:t>
      </w:r>
      <w:r w:rsidR="00C233AD" w:rsidRPr="00C233AD">
        <w:rPr>
          <w:rFonts w:ascii="標楷體" w:hAnsi="標楷體" w:hint="eastAsia"/>
        </w:rPr>
        <w:t>民間捐助之財團法人依民法及本法以外之法律、法規命令設置，賦予執行特定任務，並規定以特定財源為其運作經費，且經主管機關審認基於執行特定任務目的而有將財產列入基金之必要。</w:t>
      </w:r>
    </w:p>
    <w:p w:rsidR="00211470" w:rsidRDefault="00174D60" w:rsidP="007C4516">
      <w:pPr>
        <w:overflowPunct w:val="0"/>
        <w:spacing w:line="480" w:lineRule="exact"/>
        <w:ind w:left="826" w:firstLineChars="225" w:firstLine="630"/>
        <w:jc w:val="both"/>
        <w:rPr>
          <w:rFonts w:ascii="標楷體" w:eastAsia="標楷體" w:hAnsi="標楷體"/>
          <w:sz w:val="28"/>
          <w:szCs w:val="28"/>
        </w:rPr>
      </w:pPr>
      <w:r w:rsidRPr="00174D60">
        <w:rPr>
          <w:rFonts w:ascii="標楷體" w:eastAsia="標楷體" w:hAnsi="標楷體" w:hint="eastAsia"/>
          <w:sz w:val="28"/>
          <w:szCs w:val="28"/>
        </w:rPr>
        <w:t>第一項各項收入之總額，得參酌稅捐</w:t>
      </w:r>
      <w:r w:rsidRPr="00C66CC2">
        <w:rPr>
          <w:rFonts w:ascii="標楷體" w:eastAsia="標楷體" w:hAnsi="標楷體" w:hint="eastAsia"/>
          <w:sz w:val="28"/>
          <w:szCs w:val="28"/>
        </w:rPr>
        <w:t>稽徵</w:t>
      </w:r>
      <w:r w:rsidRPr="00174D60">
        <w:rPr>
          <w:rFonts w:ascii="標楷體" w:eastAsia="標楷體" w:hAnsi="標楷體" w:hint="eastAsia"/>
          <w:sz w:val="28"/>
          <w:szCs w:val="28"/>
        </w:rPr>
        <w:t>機關或其他相關機關核定之數額認定之。</w:t>
      </w:r>
    </w:p>
    <w:p w:rsidR="00174D60" w:rsidRPr="00174D60" w:rsidRDefault="007C4516" w:rsidP="006F0216">
      <w:pPr>
        <w:pStyle w:val="aa"/>
        <w:numPr>
          <w:ilvl w:val="0"/>
          <w:numId w:val="3"/>
        </w:numPr>
        <w:overflowPunct w:val="0"/>
        <w:ind w:leftChars="0" w:left="1134" w:hanging="1134"/>
        <w:jc w:val="both"/>
        <w:rPr>
          <w:rFonts w:ascii="標楷體" w:hAnsi="標楷體"/>
        </w:rPr>
      </w:pPr>
      <w:r>
        <w:rPr>
          <w:rFonts w:ascii="標楷體" w:hAnsi="標楷體" w:hint="eastAsia"/>
        </w:rPr>
        <w:t xml:space="preserve">  </w:t>
      </w:r>
      <w:r w:rsidR="00174D60" w:rsidRPr="00D840CD">
        <w:rPr>
          <w:rFonts w:ascii="標楷體" w:hAnsi="標楷體" w:hint="eastAsia"/>
        </w:rPr>
        <w:t>本辦法自中華民國一百零八年二月一日施行。</w:t>
      </w:r>
    </w:p>
    <w:sectPr w:rsidR="00174D60" w:rsidRPr="00174D6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D6" w:rsidRDefault="00C662D6" w:rsidP="00EF212D">
      <w:r>
        <w:separator/>
      </w:r>
    </w:p>
  </w:endnote>
  <w:endnote w:type="continuationSeparator" w:id="0">
    <w:p w:rsidR="00C662D6" w:rsidRDefault="00C662D6" w:rsidP="00EF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22517"/>
      <w:docPartObj>
        <w:docPartGallery w:val="Page Numbers (Bottom of Page)"/>
        <w:docPartUnique/>
      </w:docPartObj>
    </w:sdtPr>
    <w:sdtEndPr/>
    <w:sdtContent>
      <w:p w:rsidR="001364DC" w:rsidRDefault="001364DC">
        <w:pPr>
          <w:pStyle w:val="a5"/>
          <w:jc w:val="center"/>
        </w:pPr>
        <w:r>
          <w:fldChar w:fldCharType="begin"/>
        </w:r>
        <w:r>
          <w:instrText>PAGE   \* MERGEFORMAT</w:instrText>
        </w:r>
        <w:r>
          <w:fldChar w:fldCharType="separate"/>
        </w:r>
        <w:r w:rsidR="0018592D" w:rsidRPr="0018592D">
          <w:rPr>
            <w:noProof/>
            <w:lang w:val="zh-TW"/>
          </w:rPr>
          <w:t>1</w:t>
        </w:r>
        <w:r>
          <w:fldChar w:fldCharType="end"/>
        </w:r>
      </w:p>
    </w:sdtContent>
  </w:sdt>
  <w:p w:rsidR="001364DC" w:rsidRDefault="001364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D6" w:rsidRDefault="00C662D6" w:rsidP="00EF212D">
      <w:r>
        <w:separator/>
      </w:r>
    </w:p>
  </w:footnote>
  <w:footnote w:type="continuationSeparator" w:id="0">
    <w:p w:rsidR="00C662D6" w:rsidRDefault="00C662D6" w:rsidP="00EF2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78B3"/>
    <w:multiLevelType w:val="hybridMultilevel"/>
    <w:tmpl w:val="E6EC7C20"/>
    <w:lvl w:ilvl="0" w:tplc="FFB8DF80">
      <w:start w:val="1"/>
      <w:numFmt w:val="taiwaneseCountingThousand"/>
      <w:lvlText w:val="（%1）"/>
      <w:lvlJc w:val="left"/>
      <w:pPr>
        <w:tabs>
          <w:tab w:val="num" w:pos="482"/>
        </w:tabs>
        <w:ind w:left="876" w:hanging="396"/>
      </w:pPr>
      <w:rPr>
        <w:rFonts w:hint="default"/>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1">
    <w:nsid w:val="1DC6674E"/>
    <w:multiLevelType w:val="hybridMultilevel"/>
    <w:tmpl w:val="DD3AA9EE"/>
    <w:lvl w:ilvl="0" w:tplc="13E6B314">
      <w:start w:val="1"/>
      <w:numFmt w:val="taiwaneseCountingThousand"/>
      <w:lvlText w:val="第%1條"/>
      <w:lvlJc w:val="left"/>
      <w:pPr>
        <w:ind w:left="1080" w:hanging="10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F761B6"/>
    <w:multiLevelType w:val="hybridMultilevel"/>
    <w:tmpl w:val="7144D3EE"/>
    <w:lvl w:ilvl="0" w:tplc="F552F3C2">
      <w:start w:val="1"/>
      <w:numFmt w:val="taiwaneseCountingThousand"/>
      <w:lvlText w:val="%1、"/>
      <w:lvlJc w:val="left"/>
      <w:pPr>
        <w:ind w:left="900" w:hanging="420"/>
      </w:pPr>
      <w:rPr>
        <w:rFonts w:hint="default"/>
        <w:color w:val="auto"/>
        <w:u w:val="none"/>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3">
    <w:nsid w:val="36AE626F"/>
    <w:multiLevelType w:val="hybridMultilevel"/>
    <w:tmpl w:val="17BCC962"/>
    <w:lvl w:ilvl="0" w:tplc="04090015">
      <w:start w:val="1"/>
      <w:numFmt w:val="taiwaneseCountingThousand"/>
      <w:lvlText w:val="%1、"/>
      <w:lvlJc w:val="left"/>
      <w:pPr>
        <w:ind w:left="480" w:hanging="480"/>
      </w:pPr>
    </w:lvl>
    <w:lvl w:ilvl="1" w:tplc="04090015">
      <w:start w:val="1"/>
      <w:numFmt w:val="taiwaneseCountingThousand"/>
      <w:lvlText w:val="%2、"/>
      <w:lvlJc w:val="left"/>
      <w:pPr>
        <w:ind w:left="1614"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E30E52"/>
    <w:multiLevelType w:val="hybridMultilevel"/>
    <w:tmpl w:val="114045D8"/>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nsid w:val="622C7F65"/>
    <w:multiLevelType w:val="hybridMultilevel"/>
    <w:tmpl w:val="280A7920"/>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3D"/>
    <w:rsid w:val="00000110"/>
    <w:rsid w:val="00000D29"/>
    <w:rsid w:val="00002B01"/>
    <w:rsid w:val="00002FC2"/>
    <w:rsid w:val="00027C3F"/>
    <w:rsid w:val="00033BCB"/>
    <w:rsid w:val="00056CD9"/>
    <w:rsid w:val="0006334F"/>
    <w:rsid w:val="000671EE"/>
    <w:rsid w:val="00073F5F"/>
    <w:rsid w:val="00074228"/>
    <w:rsid w:val="000754FA"/>
    <w:rsid w:val="00091D39"/>
    <w:rsid w:val="000949EB"/>
    <w:rsid w:val="000A15D9"/>
    <w:rsid w:val="000A1918"/>
    <w:rsid w:val="000B41E4"/>
    <w:rsid w:val="000D74E3"/>
    <w:rsid w:val="000E1704"/>
    <w:rsid w:val="000E4FD2"/>
    <w:rsid w:val="000F3E3E"/>
    <w:rsid w:val="001030F7"/>
    <w:rsid w:val="00103751"/>
    <w:rsid w:val="001040BF"/>
    <w:rsid w:val="00105BD3"/>
    <w:rsid w:val="001211C1"/>
    <w:rsid w:val="00121CA1"/>
    <w:rsid w:val="00125372"/>
    <w:rsid w:val="0013039A"/>
    <w:rsid w:val="00135795"/>
    <w:rsid w:val="001364DC"/>
    <w:rsid w:val="00140B39"/>
    <w:rsid w:val="0015069F"/>
    <w:rsid w:val="00150DA7"/>
    <w:rsid w:val="001555FA"/>
    <w:rsid w:val="00167FD4"/>
    <w:rsid w:val="00171D55"/>
    <w:rsid w:val="001744F7"/>
    <w:rsid w:val="00174D60"/>
    <w:rsid w:val="001762C6"/>
    <w:rsid w:val="00176CB5"/>
    <w:rsid w:val="00182207"/>
    <w:rsid w:val="00183D3B"/>
    <w:rsid w:val="0018592D"/>
    <w:rsid w:val="00196593"/>
    <w:rsid w:val="00196B02"/>
    <w:rsid w:val="001B2076"/>
    <w:rsid w:val="001B433A"/>
    <w:rsid w:val="001B58AB"/>
    <w:rsid w:val="001B6437"/>
    <w:rsid w:val="001D57E8"/>
    <w:rsid w:val="001E144D"/>
    <w:rsid w:val="002059C5"/>
    <w:rsid w:val="00211470"/>
    <w:rsid w:val="002479F6"/>
    <w:rsid w:val="00247BA2"/>
    <w:rsid w:val="002607E7"/>
    <w:rsid w:val="00274AE9"/>
    <w:rsid w:val="002A0D78"/>
    <w:rsid w:val="002A2F82"/>
    <w:rsid w:val="002A3B85"/>
    <w:rsid w:val="002A43B9"/>
    <w:rsid w:val="002A4F92"/>
    <w:rsid w:val="002A5DF8"/>
    <w:rsid w:val="002A61E3"/>
    <w:rsid w:val="002B611A"/>
    <w:rsid w:val="002C0722"/>
    <w:rsid w:val="002C4434"/>
    <w:rsid w:val="002C4FB8"/>
    <w:rsid w:val="002D1AFA"/>
    <w:rsid w:val="002F00E7"/>
    <w:rsid w:val="002F58BF"/>
    <w:rsid w:val="002F61DA"/>
    <w:rsid w:val="003026DA"/>
    <w:rsid w:val="00320FE1"/>
    <w:rsid w:val="00321F0E"/>
    <w:rsid w:val="003247E1"/>
    <w:rsid w:val="00342602"/>
    <w:rsid w:val="00343FAF"/>
    <w:rsid w:val="00347C08"/>
    <w:rsid w:val="00370001"/>
    <w:rsid w:val="00375193"/>
    <w:rsid w:val="0038097E"/>
    <w:rsid w:val="00386495"/>
    <w:rsid w:val="00386EF7"/>
    <w:rsid w:val="003A0DA8"/>
    <w:rsid w:val="003A6B72"/>
    <w:rsid w:val="003B133B"/>
    <w:rsid w:val="003B43BD"/>
    <w:rsid w:val="003E12EB"/>
    <w:rsid w:val="003E4487"/>
    <w:rsid w:val="003E5D19"/>
    <w:rsid w:val="003F1241"/>
    <w:rsid w:val="003F19F1"/>
    <w:rsid w:val="003F2410"/>
    <w:rsid w:val="003F6F77"/>
    <w:rsid w:val="00402D02"/>
    <w:rsid w:val="004043B5"/>
    <w:rsid w:val="00407000"/>
    <w:rsid w:val="00415723"/>
    <w:rsid w:val="00422A32"/>
    <w:rsid w:val="00426508"/>
    <w:rsid w:val="0042783A"/>
    <w:rsid w:val="00427DFD"/>
    <w:rsid w:val="00430404"/>
    <w:rsid w:val="00440CE7"/>
    <w:rsid w:val="00460B18"/>
    <w:rsid w:val="00461D35"/>
    <w:rsid w:val="00465013"/>
    <w:rsid w:val="0046640F"/>
    <w:rsid w:val="0047039A"/>
    <w:rsid w:val="00471547"/>
    <w:rsid w:val="004718DA"/>
    <w:rsid w:val="004769E6"/>
    <w:rsid w:val="00491F6A"/>
    <w:rsid w:val="004924F9"/>
    <w:rsid w:val="00495FC4"/>
    <w:rsid w:val="004B6FD9"/>
    <w:rsid w:val="004C526F"/>
    <w:rsid w:val="004C59B6"/>
    <w:rsid w:val="004C7B59"/>
    <w:rsid w:val="004D30B8"/>
    <w:rsid w:val="004D6F2A"/>
    <w:rsid w:val="004E0473"/>
    <w:rsid w:val="004E3B1F"/>
    <w:rsid w:val="004F19E0"/>
    <w:rsid w:val="004F5A6B"/>
    <w:rsid w:val="00500CC3"/>
    <w:rsid w:val="0050653B"/>
    <w:rsid w:val="005124F4"/>
    <w:rsid w:val="00512E04"/>
    <w:rsid w:val="00524BB0"/>
    <w:rsid w:val="0053148B"/>
    <w:rsid w:val="0054463A"/>
    <w:rsid w:val="00545431"/>
    <w:rsid w:val="00550798"/>
    <w:rsid w:val="00552B42"/>
    <w:rsid w:val="005575F7"/>
    <w:rsid w:val="00573944"/>
    <w:rsid w:val="005774AF"/>
    <w:rsid w:val="005829F9"/>
    <w:rsid w:val="00593A56"/>
    <w:rsid w:val="005958F8"/>
    <w:rsid w:val="005A0D0C"/>
    <w:rsid w:val="005B4C15"/>
    <w:rsid w:val="005B6CBF"/>
    <w:rsid w:val="005B7E00"/>
    <w:rsid w:val="005E1AFA"/>
    <w:rsid w:val="005E6923"/>
    <w:rsid w:val="005E7EB3"/>
    <w:rsid w:val="006076B0"/>
    <w:rsid w:val="0061405F"/>
    <w:rsid w:val="00614D39"/>
    <w:rsid w:val="00632546"/>
    <w:rsid w:val="00633771"/>
    <w:rsid w:val="00641C89"/>
    <w:rsid w:val="00642027"/>
    <w:rsid w:val="006426B9"/>
    <w:rsid w:val="00643547"/>
    <w:rsid w:val="006502DF"/>
    <w:rsid w:val="00657FBE"/>
    <w:rsid w:val="00664208"/>
    <w:rsid w:val="00677FC6"/>
    <w:rsid w:val="006801E0"/>
    <w:rsid w:val="006902F5"/>
    <w:rsid w:val="006955EC"/>
    <w:rsid w:val="00696BDD"/>
    <w:rsid w:val="006B6DA6"/>
    <w:rsid w:val="006B72E8"/>
    <w:rsid w:val="006C1874"/>
    <w:rsid w:val="006C2915"/>
    <w:rsid w:val="006E7B9C"/>
    <w:rsid w:val="006F0216"/>
    <w:rsid w:val="006F33FB"/>
    <w:rsid w:val="006F652C"/>
    <w:rsid w:val="00725187"/>
    <w:rsid w:val="00726BCE"/>
    <w:rsid w:val="007278B6"/>
    <w:rsid w:val="00727ABA"/>
    <w:rsid w:val="00731328"/>
    <w:rsid w:val="0073368D"/>
    <w:rsid w:val="00734883"/>
    <w:rsid w:val="00740594"/>
    <w:rsid w:val="0075194A"/>
    <w:rsid w:val="00752A8A"/>
    <w:rsid w:val="0075452D"/>
    <w:rsid w:val="00757944"/>
    <w:rsid w:val="00762380"/>
    <w:rsid w:val="00770EE0"/>
    <w:rsid w:val="00776733"/>
    <w:rsid w:val="00784420"/>
    <w:rsid w:val="007852BF"/>
    <w:rsid w:val="007913AD"/>
    <w:rsid w:val="007B2A1C"/>
    <w:rsid w:val="007B309D"/>
    <w:rsid w:val="007B33EE"/>
    <w:rsid w:val="007B5387"/>
    <w:rsid w:val="007C4516"/>
    <w:rsid w:val="007D27D2"/>
    <w:rsid w:val="007E02E7"/>
    <w:rsid w:val="007E7B48"/>
    <w:rsid w:val="0080088A"/>
    <w:rsid w:val="00801248"/>
    <w:rsid w:val="00802C63"/>
    <w:rsid w:val="00807FF6"/>
    <w:rsid w:val="00811C8D"/>
    <w:rsid w:val="00820078"/>
    <w:rsid w:val="00820B29"/>
    <w:rsid w:val="00821891"/>
    <w:rsid w:val="00823AE9"/>
    <w:rsid w:val="00830B30"/>
    <w:rsid w:val="00836E35"/>
    <w:rsid w:val="00840642"/>
    <w:rsid w:val="0084786E"/>
    <w:rsid w:val="00853442"/>
    <w:rsid w:val="008657C4"/>
    <w:rsid w:val="00867FCB"/>
    <w:rsid w:val="008766D7"/>
    <w:rsid w:val="00882E9C"/>
    <w:rsid w:val="00886F79"/>
    <w:rsid w:val="008905CA"/>
    <w:rsid w:val="00892245"/>
    <w:rsid w:val="00894B59"/>
    <w:rsid w:val="00895C3F"/>
    <w:rsid w:val="008A6E2D"/>
    <w:rsid w:val="008B2791"/>
    <w:rsid w:val="008B2E13"/>
    <w:rsid w:val="008B2E8F"/>
    <w:rsid w:val="008C45C7"/>
    <w:rsid w:val="008C4D9B"/>
    <w:rsid w:val="008D304F"/>
    <w:rsid w:val="008D56FD"/>
    <w:rsid w:val="008D6259"/>
    <w:rsid w:val="008D6B08"/>
    <w:rsid w:val="008E55DD"/>
    <w:rsid w:val="008F1DA8"/>
    <w:rsid w:val="008F4162"/>
    <w:rsid w:val="00910C88"/>
    <w:rsid w:val="00915BFB"/>
    <w:rsid w:val="00916FA0"/>
    <w:rsid w:val="0091714E"/>
    <w:rsid w:val="0092499C"/>
    <w:rsid w:val="00936833"/>
    <w:rsid w:val="0094282F"/>
    <w:rsid w:val="00944988"/>
    <w:rsid w:val="00950454"/>
    <w:rsid w:val="0096581A"/>
    <w:rsid w:val="0096762C"/>
    <w:rsid w:val="00980273"/>
    <w:rsid w:val="00986446"/>
    <w:rsid w:val="00986F40"/>
    <w:rsid w:val="009913B0"/>
    <w:rsid w:val="009A2CFA"/>
    <w:rsid w:val="009A4902"/>
    <w:rsid w:val="009A79F6"/>
    <w:rsid w:val="009B7C21"/>
    <w:rsid w:val="009C58D7"/>
    <w:rsid w:val="009D3FD2"/>
    <w:rsid w:val="009E7A4E"/>
    <w:rsid w:val="009F5DE6"/>
    <w:rsid w:val="009F7126"/>
    <w:rsid w:val="00A01C4D"/>
    <w:rsid w:val="00A116C6"/>
    <w:rsid w:val="00A136B2"/>
    <w:rsid w:val="00A1513D"/>
    <w:rsid w:val="00A269AF"/>
    <w:rsid w:val="00A3046F"/>
    <w:rsid w:val="00A30BB2"/>
    <w:rsid w:val="00A30D9D"/>
    <w:rsid w:val="00A351BF"/>
    <w:rsid w:val="00A40611"/>
    <w:rsid w:val="00A45158"/>
    <w:rsid w:val="00A664DA"/>
    <w:rsid w:val="00A74ED8"/>
    <w:rsid w:val="00A75BD7"/>
    <w:rsid w:val="00A770B0"/>
    <w:rsid w:val="00A779EB"/>
    <w:rsid w:val="00A815DD"/>
    <w:rsid w:val="00AA020E"/>
    <w:rsid w:val="00AB3BB8"/>
    <w:rsid w:val="00AD114A"/>
    <w:rsid w:val="00AD1E33"/>
    <w:rsid w:val="00AE579D"/>
    <w:rsid w:val="00AF61F4"/>
    <w:rsid w:val="00B028BA"/>
    <w:rsid w:val="00B03911"/>
    <w:rsid w:val="00B03F5C"/>
    <w:rsid w:val="00B04840"/>
    <w:rsid w:val="00B06351"/>
    <w:rsid w:val="00B07F63"/>
    <w:rsid w:val="00B10350"/>
    <w:rsid w:val="00B12539"/>
    <w:rsid w:val="00B15D3B"/>
    <w:rsid w:val="00B30482"/>
    <w:rsid w:val="00B31F94"/>
    <w:rsid w:val="00B4570C"/>
    <w:rsid w:val="00B57D99"/>
    <w:rsid w:val="00B60631"/>
    <w:rsid w:val="00B62DEF"/>
    <w:rsid w:val="00B631CA"/>
    <w:rsid w:val="00B84254"/>
    <w:rsid w:val="00B84CF0"/>
    <w:rsid w:val="00BA5DC2"/>
    <w:rsid w:val="00BA7308"/>
    <w:rsid w:val="00BB5930"/>
    <w:rsid w:val="00BB6AE1"/>
    <w:rsid w:val="00BC746D"/>
    <w:rsid w:val="00BE3BA9"/>
    <w:rsid w:val="00BE3FA9"/>
    <w:rsid w:val="00BE5FFA"/>
    <w:rsid w:val="00C0097C"/>
    <w:rsid w:val="00C0299E"/>
    <w:rsid w:val="00C034FE"/>
    <w:rsid w:val="00C03703"/>
    <w:rsid w:val="00C04DAA"/>
    <w:rsid w:val="00C1678B"/>
    <w:rsid w:val="00C233AD"/>
    <w:rsid w:val="00C31D5C"/>
    <w:rsid w:val="00C34738"/>
    <w:rsid w:val="00C3613D"/>
    <w:rsid w:val="00C42DD2"/>
    <w:rsid w:val="00C55C49"/>
    <w:rsid w:val="00C66222"/>
    <w:rsid w:val="00C662D6"/>
    <w:rsid w:val="00C66CC2"/>
    <w:rsid w:val="00C726F7"/>
    <w:rsid w:val="00C770CC"/>
    <w:rsid w:val="00C84E4D"/>
    <w:rsid w:val="00C91A01"/>
    <w:rsid w:val="00C9369B"/>
    <w:rsid w:val="00C94FF3"/>
    <w:rsid w:val="00CA0271"/>
    <w:rsid w:val="00CA3D3B"/>
    <w:rsid w:val="00CB3D67"/>
    <w:rsid w:val="00CD535F"/>
    <w:rsid w:val="00CE0FE2"/>
    <w:rsid w:val="00CE1882"/>
    <w:rsid w:val="00CE41D7"/>
    <w:rsid w:val="00CF0023"/>
    <w:rsid w:val="00CF15BD"/>
    <w:rsid w:val="00CF4FC0"/>
    <w:rsid w:val="00CF6406"/>
    <w:rsid w:val="00D05BE6"/>
    <w:rsid w:val="00D139F3"/>
    <w:rsid w:val="00D34DCF"/>
    <w:rsid w:val="00D37157"/>
    <w:rsid w:val="00D41B8B"/>
    <w:rsid w:val="00D50B39"/>
    <w:rsid w:val="00D5704E"/>
    <w:rsid w:val="00D73CB8"/>
    <w:rsid w:val="00D75FB7"/>
    <w:rsid w:val="00D840CD"/>
    <w:rsid w:val="00D84A03"/>
    <w:rsid w:val="00D8523A"/>
    <w:rsid w:val="00D97EAF"/>
    <w:rsid w:val="00DB2B91"/>
    <w:rsid w:val="00DB3D8D"/>
    <w:rsid w:val="00DB47AA"/>
    <w:rsid w:val="00DC395E"/>
    <w:rsid w:val="00DC518B"/>
    <w:rsid w:val="00DC537B"/>
    <w:rsid w:val="00DD06EC"/>
    <w:rsid w:val="00DD0CD4"/>
    <w:rsid w:val="00DD1449"/>
    <w:rsid w:val="00DE7ED9"/>
    <w:rsid w:val="00DF1704"/>
    <w:rsid w:val="00DF2DDF"/>
    <w:rsid w:val="00DF4450"/>
    <w:rsid w:val="00DF57E5"/>
    <w:rsid w:val="00DF63C4"/>
    <w:rsid w:val="00DF776E"/>
    <w:rsid w:val="00DF7983"/>
    <w:rsid w:val="00E07FA0"/>
    <w:rsid w:val="00E14CE4"/>
    <w:rsid w:val="00E15955"/>
    <w:rsid w:val="00E23A78"/>
    <w:rsid w:val="00E27AC0"/>
    <w:rsid w:val="00E31C3B"/>
    <w:rsid w:val="00E46359"/>
    <w:rsid w:val="00E50968"/>
    <w:rsid w:val="00E7186B"/>
    <w:rsid w:val="00E721AD"/>
    <w:rsid w:val="00EA294B"/>
    <w:rsid w:val="00EA38F7"/>
    <w:rsid w:val="00EA3D65"/>
    <w:rsid w:val="00EA5667"/>
    <w:rsid w:val="00EB21C1"/>
    <w:rsid w:val="00EC34FD"/>
    <w:rsid w:val="00EC439A"/>
    <w:rsid w:val="00EC5AB7"/>
    <w:rsid w:val="00ED540E"/>
    <w:rsid w:val="00EE24AB"/>
    <w:rsid w:val="00EE2A14"/>
    <w:rsid w:val="00EF212D"/>
    <w:rsid w:val="00F02AB6"/>
    <w:rsid w:val="00F04F88"/>
    <w:rsid w:val="00F13FF8"/>
    <w:rsid w:val="00F14353"/>
    <w:rsid w:val="00F16D82"/>
    <w:rsid w:val="00F21A57"/>
    <w:rsid w:val="00F34D4A"/>
    <w:rsid w:val="00F438A2"/>
    <w:rsid w:val="00F519C5"/>
    <w:rsid w:val="00F51C99"/>
    <w:rsid w:val="00F537E5"/>
    <w:rsid w:val="00F629C2"/>
    <w:rsid w:val="00F7643F"/>
    <w:rsid w:val="00F76FB5"/>
    <w:rsid w:val="00F80922"/>
    <w:rsid w:val="00F85624"/>
    <w:rsid w:val="00FA0A17"/>
    <w:rsid w:val="00FA4148"/>
    <w:rsid w:val="00FA4A62"/>
    <w:rsid w:val="00FC27DA"/>
    <w:rsid w:val="00FC3F95"/>
    <w:rsid w:val="00FC4081"/>
    <w:rsid w:val="00FC4AB4"/>
    <w:rsid w:val="00FC4C2B"/>
    <w:rsid w:val="00FD2B02"/>
    <w:rsid w:val="00FD44ED"/>
    <w:rsid w:val="00FE0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12D"/>
    <w:pPr>
      <w:tabs>
        <w:tab w:val="center" w:pos="4153"/>
        <w:tab w:val="right" w:pos="8306"/>
      </w:tabs>
      <w:snapToGrid w:val="0"/>
    </w:pPr>
    <w:rPr>
      <w:sz w:val="20"/>
      <w:szCs w:val="20"/>
    </w:rPr>
  </w:style>
  <w:style w:type="character" w:customStyle="1" w:styleId="a4">
    <w:name w:val="頁首 字元"/>
    <w:basedOn w:val="a0"/>
    <w:link w:val="a3"/>
    <w:uiPriority w:val="99"/>
    <w:rsid w:val="00EF212D"/>
    <w:rPr>
      <w:rFonts w:ascii="Times New Roman" w:eastAsia="新細明體" w:hAnsi="Times New Roman" w:cs="Times New Roman"/>
      <w:sz w:val="20"/>
      <w:szCs w:val="20"/>
    </w:rPr>
  </w:style>
  <w:style w:type="paragraph" w:styleId="a5">
    <w:name w:val="footer"/>
    <w:basedOn w:val="a"/>
    <w:link w:val="a6"/>
    <w:uiPriority w:val="99"/>
    <w:unhideWhenUsed/>
    <w:rsid w:val="00EF212D"/>
    <w:pPr>
      <w:tabs>
        <w:tab w:val="center" w:pos="4153"/>
        <w:tab w:val="right" w:pos="8306"/>
      </w:tabs>
      <w:snapToGrid w:val="0"/>
    </w:pPr>
    <w:rPr>
      <w:sz w:val="20"/>
      <w:szCs w:val="20"/>
    </w:rPr>
  </w:style>
  <w:style w:type="character" w:customStyle="1" w:styleId="a6">
    <w:name w:val="頁尾 字元"/>
    <w:basedOn w:val="a0"/>
    <w:link w:val="a5"/>
    <w:uiPriority w:val="99"/>
    <w:rsid w:val="00EF212D"/>
    <w:rPr>
      <w:rFonts w:ascii="Times New Roman" w:eastAsia="新細明體" w:hAnsi="Times New Roman" w:cs="Times New Roman"/>
      <w:sz w:val="20"/>
      <w:szCs w:val="20"/>
    </w:rPr>
  </w:style>
  <w:style w:type="paragraph" w:styleId="a7">
    <w:name w:val="Balloon Text"/>
    <w:basedOn w:val="a"/>
    <w:link w:val="a8"/>
    <w:uiPriority w:val="99"/>
    <w:semiHidden/>
    <w:unhideWhenUsed/>
    <w:rsid w:val="009A79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A79F6"/>
    <w:rPr>
      <w:rFonts w:asciiTheme="majorHAnsi" w:eastAsiaTheme="majorEastAsia" w:hAnsiTheme="majorHAnsi" w:cstheme="majorBidi"/>
      <w:sz w:val="18"/>
      <w:szCs w:val="18"/>
    </w:rPr>
  </w:style>
  <w:style w:type="table" w:styleId="a9">
    <w:name w:val="Table Grid"/>
    <w:basedOn w:val="a1"/>
    <w:uiPriority w:val="59"/>
    <w:rsid w:val="004E3B1F"/>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4E3B1F"/>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43FAF"/>
    <w:pPr>
      <w:widowControl/>
      <w:spacing w:line="480" w:lineRule="exact"/>
      <w:ind w:leftChars="200" w:left="480"/>
    </w:pPr>
    <w:rPr>
      <w:rFonts w:eastAsia="標楷體" w:cstheme="minorBidi"/>
      <w:sz w:val="28"/>
      <w:szCs w:val="28"/>
    </w:rPr>
  </w:style>
  <w:style w:type="paragraph" w:styleId="HTML">
    <w:name w:val="HTML Preformatted"/>
    <w:basedOn w:val="a"/>
    <w:link w:val="HTML0"/>
    <w:uiPriority w:val="99"/>
    <w:semiHidden/>
    <w:unhideWhenUsed/>
    <w:rsid w:val="00C04DAA"/>
    <w:rPr>
      <w:rFonts w:ascii="Courier New" w:hAnsi="Courier New" w:cs="Courier New"/>
      <w:sz w:val="20"/>
      <w:szCs w:val="20"/>
    </w:rPr>
  </w:style>
  <w:style w:type="character" w:customStyle="1" w:styleId="HTML0">
    <w:name w:val="HTML 預設格式 字元"/>
    <w:basedOn w:val="a0"/>
    <w:link w:val="HTML"/>
    <w:uiPriority w:val="99"/>
    <w:semiHidden/>
    <w:rsid w:val="00C04DAA"/>
    <w:rPr>
      <w:rFonts w:ascii="Courier New" w:eastAsia="新細明體"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12D"/>
    <w:pPr>
      <w:tabs>
        <w:tab w:val="center" w:pos="4153"/>
        <w:tab w:val="right" w:pos="8306"/>
      </w:tabs>
      <w:snapToGrid w:val="0"/>
    </w:pPr>
    <w:rPr>
      <w:sz w:val="20"/>
      <w:szCs w:val="20"/>
    </w:rPr>
  </w:style>
  <w:style w:type="character" w:customStyle="1" w:styleId="a4">
    <w:name w:val="頁首 字元"/>
    <w:basedOn w:val="a0"/>
    <w:link w:val="a3"/>
    <w:uiPriority w:val="99"/>
    <w:rsid w:val="00EF212D"/>
    <w:rPr>
      <w:rFonts w:ascii="Times New Roman" w:eastAsia="新細明體" w:hAnsi="Times New Roman" w:cs="Times New Roman"/>
      <w:sz w:val="20"/>
      <w:szCs w:val="20"/>
    </w:rPr>
  </w:style>
  <w:style w:type="paragraph" w:styleId="a5">
    <w:name w:val="footer"/>
    <w:basedOn w:val="a"/>
    <w:link w:val="a6"/>
    <w:uiPriority w:val="99"/>
    <w:unhideWhenUsed/>
    <w:rsid w:val="00EF212D"/>
    <w:pPr>
      <w:tabs>
        <w:tab w:val="center" w:pos="4153"/>
        <w:tab w:val="right" w:pos="8306"/>
      </w:tabs>
      <w:snapToGrid w:val="0"/>
    </w:pPr>
    <w:rPr>
      <w:sz w:val="20"/>
      <w:szCs w:val="20"/>
    </w:rPr>
  </w:style>
  <w:style w:type="character" w:customStyle="1" w:styleId="a6">
    <w:name w:val="頁尾 字元"/>
    <w:basedOn w:val="a0"/>
    <w:link w:val="a5"/>
    <w:uiPriority w:val="99"/>
    <w:rsid w:val="00EF212D"/>
    <w:rPr>
      <w:rFonts w:ascii="Times New Roman" w:eastAsia="新細明體" w:hAnsi="Times New Roman" w:cs="Times New Roman"/>
      <w:sz w:val="20"/>
      <w:szCs w:val="20"/>
    </w:rPr>
  </w:style>
  <w:style w:type="paragraph" w:styleId="a7">
    <w:name w:val="Balloon Text"/>
    <w:basedOn w:val="a"/>
    <w:link w:val="a8"/>
    <w:uiPriority w:val="99"/>
    <w:semiHidden/>
    <w:unhideWhenUsed/>
    <w:rsid w:val="009A79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A79F6"/>
    <w:rPr>
      <w:rFonts w:asciiTheme="majorHAnsi" w:eastAsiaTheme="majorEastAsia" w:hAnsiTheme="majorHAnsi" w:cstheme="majorBidi"/>
      <w:sz w:val="18"/>
      <w:szCs w:val="18"/>
    </w:rPr>
  </w:style>
  <w:style w:type="table" w:styleId="a9">
    <w:name w:val="Table Grid"/>
    <w:basedOn w:val="a1"/>
    <w:uiPriority w:val="59"/>
    <w:rsid w:val="004E3B1F"/>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4E3B1F"/>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43FAF"/>
    <w:pPr>
      <w:widowControl/>
      <w:spacing w:line="480" w:lineRule="exact"/>
      <w:ind w:leftChars="200" w:left="480"/>
    </w:pPr>
    <w:rPr>
      <w:rFonts w:eastAsia="標楷體" w:cstheme="minorBidi"/>
      <w:sz w:val="28"/>
      <w:szCs w:val="28"/>
    </w:rPr>
  </w:style>
  <w:style w:type="paragraph" w:styleId="HTML">
    <w:name w:val="HTML Preformatted"/>
    <w:basedOn w:val="a"/>
    <w:link w:val="HTML0"/>
    <w:uiPriority w:val="99"/>
    <w:semiHidden/>
    <w:unhideWhenUsed/>
    <w:rsid w:val="00C04DAA"/>
    <w:rPr>
      <w:rFonts w:ascii="Courier New" w:hAnsi="Courier New" w:cs="Courier New"/>
      <w:sz w:val="20"/>
      <w:szCs w:val="20"/>
    </w:rPr>
  </w:style>
  <w:style w:type="character" w:customStyle="1" w:styleId="HTML0">
    <w:name w:val="HTML 預設格式 字元"/>
    <w:basedOn w:val="a0"/>
    <w:link w:val="HTML"/>
    <w:uiPriority w:val="99"/>
    <w:semiHidden/>
    <w:rsid w:val="00C04DAA"/>
    <w:rPr>
      <w:rFonts w:ascii="Courier New" w:eastAsia="新細明體"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1709">
      <w:bodyDiv w:val="1"/>
      <w:marLeft w:val="0"/>
      <w:marRight w:val="0"/>
      <w:marTop w:val="0"/>
      <w:marBottom w:val="0"/>
      <w:divBdr>
        <w:top w:val="none" w:sz="0" w:space="0" w:color="auto"/>
        <w:left w:val="none" w:sz="0" w:space="0" w:color="auto"/>
        <w:bottom w:val="none" w:sz="0" w:space="0" w:color="auto"/>
        <w:right w:val="none" w:sz="0" w:space="0" w:color="auto"/>
      </w:divBdr>
    </w:div>
    <w:div w:id="712385930">
      <w:bodyDiv w:val="1"/>
      <w:marLeft w:val="0"/>
      <w:marRight w:val="0"/>
      <w:marTop w:val="0"/>
      <w:marBottom w:val="0"/>
      <w:divBdr>
        <w:top w:val="none" w:sz="0" w:space="0" w:color="auto"/>
        <w:left w:val="none" w:sz="0" w:space="0" w:color="auto"/>
        <w:bottom w:val="none" w:sz="0" w:space="0" w:color="auto"/>
        <w:right w:val="none" w:sz="0" w:space="0" w:color="auto"/>
      </w:divBdr>
    </w:div>
    <w:div w:id="1076440988">
      <w:bodyDiv w:val="1"/>
      <w:marLeft w:val="0"/>
      <w:marRight w:val="0"/>
      <w:marTop w:val="0"/>
      <w:marBottom w:val="0"/>
      <w:divBdr>
        <w:top w:val="none" w:sz="0" w:space="0" w:color="auto"/>
        <w:left w:val="none" w:sz="0" w:space="0" w:color="auto"/>
        <w:bottom w:val="none" w:sz="0" w:space="0" w:color="auto"/>
        <w:right w:val="none" w:sz="0" w:space="0" w:color="auto"/>
      </w:divBdr>
    </w:div>
    <w:div w:id="1111634266">
      <w:bodyDiv w:val="1"/>
      <w:marLeft w:val="0"/>
      <w:marRight w:val="0"/>
      <w:marTop w:val="0"/>
      <w:marBottom w:val="0"/>
      <w:divBdr>
        <w:top w:val="none" w:sz="0" w:space="0" w:color="auto"/>
        <w:left w:val="none" w:sz="0" w:space="0" w:color="auto"/>
        <w:bottom w:val="none" w:sz="0" w:space="0" w:color="auto"/>
        <w:right w:val="none" w:sz="0" w:space="0" w:color="auto"/>
      </w:divBdr>
    </w:div>
    <w:div w:id="1185288164">
      <w:bodyDiv w:val="1"/>
      <w:marLeft w:val="0"/>
      <w:marRight w:val="0"/>
      <w:marTop w:val="0"/>
      <w:marBottom w:val="0"/>
      <w:divBdr>
        <w:top w:val="none" w:sz="0" w:space="0" w:color="auto"/>
        <w:left w:val="none" w:sz="0" w:space="0" w:color="auto"/>
        <w:bottom w:val="none" w:sz="0" w:space="0" w:color="auto"/>
        <w:right w:val="none" w:sz="0" w:space="0" w:color="auto"/>
      </w:divBdr>
    </w:div>
    <w:div w:id="1331905748">
      <w:bodyDiv w:val="1"/>
      <w:marLeft w:val="0"/>
      <w:marRight w:val="0"/>
      <w:marTop w:val="0"/>
      <w:marBottom w:val="0"/>
      <w:divBdr>
        <w:top w:val="none" w:sz="0" w:space="0" w:color="auto"/>
        <w:left w:val="none" w:sz="0" w:space="0" w:color="auto"/>
        <w:bottom w:val="none" w:sz="0" w:space="0" w:color="auto"/>
        <w:right w:val="none" w:sz="0" w:space="0" w:color="auto"/>
      </w:divBdr>
    </w:div>
    <w:div w:id="20013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DB86-4650-4F53-A6B3-EE53C6A0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1421</Characters>
  <Application>Microsoft Office Word</Application>
  <DocSecurity>0</DocSecurity>
  <Lines>11</Lines>
  <Paragraphs>3</Paragraphs>
  <ScaleCrop>false</ScaleCrop>
  <Company>MOJ</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郭舒珊</cp:lastModifiedBy>
  <cp:revision>2</cp:revision>
  <cp:lastPrinted>2019-01-25T03:11:00Z</cp:lastPrinted>
  <dcterms:created xsi:type="dcterms:W3CDTF">2019-02-01T03:29:00Z</dcterms:created>
  <dcterms:modified xsi:type="dcterms:W3CDTF">2019-02-01T03:29:00Z</dcterms:modified>
</cp:coreProperties>
</file>