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6F" w:rsidRDefault="00D41E6F" w:rsidP="00D41E6F">
      <w:pPr>
        <w:autoSpaceDE w:val="0"/>
        <w:autoSpaceDN w:val="0"/>
        <w:adjustRightInd w:val="0"/>
        <w:rPr>
          <w:rFonts w:ascii="CIDFont+F2" w:eastAsia="CIDFont+F2" w:cs="CIDFont+F2"/>
          <w:b/>
          <w:kern w:val="0"/>
          <w:sz w:val="72"/>
          <w:szCs w:val="72"/>
        </w:rPr>
      </w:pPr>
      <w:bookmarkStart w:id="0" w:name="_Toc19451357"/>
      <w:r>
        <w:rPr>
          <w:rFonts w:ascii="標楷體" w:eastAsia="標楷體" w:hAnsi="標楷體" w:hint="eastAsia"/>
          <w:b/>
          <w:sz w:val="36"/>
          <w:szCs w:val="36"/>
        </w:rPr>
        <w:t>內部控制制度範例</w:t>
      </w:r>
      <w:bookmarkEnd w:id="0"/>
    </w:p>
    <w:p w:rsidR="00D41E6F" w:rsidRDefault="00D41E6F" w:rsidP="00D41E6F">
      <w:pPr>
        <w:autoSpaceDE w:val="0"/>
        <w:autoSpaceDN w:val="0"/>
        <w:adjustRightInd w:val="0"/>
        <w:jc w:val="center"/>
        <w:rPr>
          <w:rFonts w:ascii="CIDFont+F2" w:eastAsia="CIDFont+F2" w:cs="CIDFont+F2"/>
          <w:kern w:val="0"/>
          <w:sz w:val="72"/>
          <w:szCs w:val="72"/>
        </w:rPr>
      </w:pPr>
    </w:p>
    <w:p w:rsidR="00D41E6F" w:rsidRDefault="00D41E6F" w:rsidP="00D41E6F">
      <w:pPr>
        <w:autoSpaceDE w:val="0"/>
        <w:autoSpaceDN w:val="0"/>
        <w:adjustRightInd w:val="0"/>
        <w:jc w:val="center"/>
        <w:rPr>
          <w:rFonts w:ascii="標楷體" w:eastAsia="標楷體" w:hAnsi="標楷體" w:cs="CIDFont+F2"/>
          <w:kern w:val="0"/>
          <w:sz w:val="72"/>
          <w:szCs w:val="72"/>
        </w:rPr>
      </w:pPr>
      <w:r>
        <w:rPr>
          <w:rFonts w:ascii="標楷體" w:eastAsia="標楷體" w:hAnsi="標楷體" w:cs="CIDFont+F2" w:hint="eastAsia"/>
          <w:kern w:val="0"/>
          <w:sz w:val="72"/>
          <w:szCs w:val="72"/>
        </w:rPr>
        <w:t>財團法人臺北市</w:t>
      </w:r>
    </w:p>
    <w:p w:rsidR="00495C26" w:rsidRDefault="00D41E6F" w:rsidP="00D41E6F">
      <w:pPr>
        <w:jc w:val="center"/>
        <w:rPr>
          <w:rFonts w:ascii="標楷體" w:eastAsia="標楷體" w:hAnsi="標楷體" w:cs="CIDFont+F2"/>
          <w:kern w:val="0"/>
          <w:sz w:val="72"/>
          <w:szCs w:val="72"/>
        </w:rPr>
      </w:pPr>
      <w:r>
        <w:rPr>
          <w:rFonts w:ascii="標楷體" w:eastAsia="標楷體" w:hAnsi="標楷體" w:cs="CIDFont+F2" w:hint="eastAsia"/>
          <w:kern w:val="0"/>
          <w:sz w:val="72"/>
          <w:szCs w:val="72"/>
        </w:rPr>
        <w:t>○○○基金會</w:t>
      </w:r>
    </w:p>
    <w:p w:rsidR="00426072" w:rsidRPr="00FD4349" w:rsidRDefault="00426072" w:rsidP="00426072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317D12" w:rsidRPr="00426072" w:rsidRDefault="00317D12" w:rsidP="00FD4349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426072">
        <w:rPr>
          <w:rFonts w:ascii="Times New Roman" w:eastAsia="標楷體" w:hAnsi="Times New Roman" w:cs="Times New Roman"/>
          <w:sz w:val="72"/>
          <w:szCs w:val="72"/>
        </w:rPr>
        <w:t>內部控制制度</w:t>
      </w:r>
    </w:p>
    <w:p w:rsidR="00317D12" w:rsidRPr="00317D12" w:rsidRDefault="00317D12" w:rsidP="00317D12">
      <w:pPr>
        <w:jc w:val="center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（本制度經提本</w:t>
      </w:r>
      <w:r w:rsidR="00B52DA0">
        <w:rPr>
          <w:rStyle w:val="a3"/>
          <w:rFonts w:ascii="Times New Roman" w:eastAsia="標楷體" w:hAnsi="Times New Roman" w:cs="Times New Roman" w:hint="eastAsia"/>
          <w:b w:val="0"/>
          <w:sz w:val="26"/>
          <w:szCs w:val="26"/>
        </w:rPr>
        <w:t>會</w:t>
      </w:r>
      <w:bookmarkStart w:id="1" w:name="_GoBack"/>
      <w:bookmarkEnd w:id="1"/>
      <w:r w:rsidR="00D86E60">
        <w:rPr>
          <w:rStyle w:val="a3"/>
          <w:rFonts w:ascii="Times New Roman" w:eastAsia="標楷體" w:hAnsi="Times New Roman" w:cs="Times New Roman" w:hint="eastAsia"/>
          <w:b w:val="0"/>
          <w:sz w:val="26"/>
          <w:szCs w:val="26"/>
        </w:rPr>
        <w:t>109</w:t>
      </w:r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年</w:t>
      </w:r>
      <w:proofErr w:type="gramStart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Ｘ</w:t>
      </w:r>
      <w:proofErr w:type="gramEnd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月</w:t>
      </w:r>
      <w:proofErr w:type="gramStart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Ｘ</w:t>
      </w:r>
      <w:proofErr w:type="gramEnd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日第</w:t>
      </w:r>
      <w:proofErr w:type="gramStart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Ｘ</w:t>
      </w:r>
      <w:proofErr w:type="gramEnd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屆第</w:t>
      </w:r>
      <w:proofErr w:type="gramStart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Ｘ</w:t>
      </w:r>
      <w:proofErr w:type="gramEnd"/>
      <w:r w:rsidRPr="00FD4349">
        <w:rPr>
          <w:rStyle w:val="a3"/>
          <w:rFonts w:ascii="Times New Roman" w:eastAsia="標楷體" w:hAnsi="Times New Roman" w:cs="Times New Roman"/>
          <w:b w:val="0"/>
          <w:sz w:val="26"/>
          <w:szCs w:val="26"/>
        </w:rPr>
        <w:t>次董事會決議通過）</w:t>
      </w: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317D12" w:rsidRDefault="00317D12" w:rsidP="00317D12">
      <w:pPr>
        <w:jc w:val="center"/>
        <w:rPr>
          <w:rStyle w:val="a3"/>
        </w:rPr>
      </w:pPr>
    </w:p>
    <w:p w:rsidR="00E5605B" w:rsidRDefault="00426072" w:rsidP="00426072">
      <w:pPr>
        <w:jc w:val="center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943557">
        <w:rPr>
          <w:rFonts w:ascii="標楷體" w:eastAsia="標楷體" w:hAnsi="標楷體" w:cs="CIDFont+F2" w:hint="eastAsia"/>
          <w:kern w:val="0"/>
          <w:sz w:val="36"/>
          <w:szCs w:val="36"/>
        </w:rPr>
        <w:t>中華民國○○○年○○月○○日訂定</w:t>
      </w:r>
      <w:r w:rsidRPr="00943557">
        <w:rPr>
          <w:rFonts w:ascii="標楷體" w:eastAsia="標楷體" w:hAnsi="標楷體" w:cs="CIDFont+F2"/>
          <w:kern w:val="0"/>
          <w:sz w:val="36"/>
          <w:szCs w:val="36"/>
        </w:rPr>
        <w:t>(</w:t>
      </w:r>
      <w:r w:rsidRPr="00943557">
        <w:rPr>
          <w:rFonts w:ascii="標楷體" w:eastAsia="標楷體" w:hAnsi="標楷體" w:cs="CIDFont+F2" w:hint="eastAsia"/>
          <w:kern w:val="0"/>
          <w:sz w:val="36"/>
          <w:szCs w:val="36"/>
        </w:rPr>
        <w:t>修正</w:t>
      </w:r>
      <w:r w:rsidRPr="00943557">
        <w:rPr>
          <w:rFonts w:ascii="標楷體" w:eastAsia="標楷體" w:hAnsi="標楷體" w:cs="CIDFont+F2"/>
          <w:kern w:val="0"/>
          <w:sz w:val="36"/>
          <w:szCs w:val="36"/>
        </w:rPr>
        <w:t>)</w:t>
      </w:r>
      <w:r w:rsidR="00E5605B">
        <w:rPr>
          <w:rStyle w:val="a3"/>
          <w:rFonts w:ascii="標楷體" w:eastAsia="標楷體" w:hAnsi="標楷體"/>
          <w:b w:val="0"/>
          <w:sz w:val="26"/>
          <w:szCs w:val="26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506822810"/>
        <w:docPartObj>
          <w:docPartGallery w:val="Table of Contents"/>
          <w:docPartUnique/>
        </w:docPartObj>
      </w:sdtPr>
      <w:sdtEndPr/>
      <w:sdtContent>
        <w:p w:rsidR="00FD4349" w:rsidRPr="00137C52" w:rsidRDefault="00FD4349" w:rsidP="00FD4349">
          <w:pPr>
            <w:pStyle w:val="a9"/>
            <w:jc w:val="center"/>
            <w:rPr>
              <w:rFonts w:ascii="Times New Roman" w:eastAsia="標楷體" w:hAnsi="Times New Roman" w:cs="Times New Roman"/>
              <w:sz w:val="32"/>
              <w:szCs w:val="32"/>
            </w:rPr>
          </w:pPr>
          <w:r w:rsidRPr="00137C52">
            <w:rPr>
              <w:rFonts w:ascii="Times New Roman" w:eastAsia="標楷體" w:hAnsi="Times New Roman" w:cs="Times New Roman"/>
              <w:sz w:val="32"/>
              <w:szCs w:val="32"/>
              <w:lang w:val="zh-TW"/>
            </w:rPr>
            <w:t>目錄</w:t>
          </w:r>
        </w:p>
        <w:p w:rsidR="00302EA0" w:rsidRPr="00302EA0" w:rsidRDefault="00FD4349">
          <w:pPr>
            <w:pStyle w:val="21"/>
            <w:tabs>
              <w:tab w:val="right" w:leader="dot" w:pos="9204"/>
            </w:tabs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r w:rsidRPr="00FD4349">
            <w:rPr>
              <w:rFonts w:ascii="Times New Roman" w:eastAsia="標楷體" w:hAnsi="Times New Roman" w:cs="Times New Roman"/>
            </w:rPr>
            <w:fldChar w:fldCharType="begin"/>
          </w:r>
          <w:r w:rsidRPr="00FD4349">
            <w:rPr>
              <w:rFonts w:ascii="Times New Roman" w:eastAsia="標楷體" w:hAnsi="Times New Roman" w:cs="Times New Roman"/>
            </w:rPr>
            <w:instrText xml:space="preserve"> TOC \o "1-3" \h \z \u </w:instrText>
          </w:r>
          <w:r w:rsidRPr="00FD4349">
            <w:rPr>
              <w:rFonts w:ascii="Times New Roman" w:eastAsia="標楷體" w:hAnsi="Times New Roman" w:cs="Times New Roman"/>
            </w:rPr>
            <w:fldChar w:fldCharType="separate"/>
          </w:r>
          <w:hyperlink w:anchor="_Toc37787655" w:history="1">
            <w:r w:rsidR="00302EA0" w:rsidRPr="00302EA0">
              <w:rPr>
                <w:rStyle w:val="aa"/>
                <w:rFonts w:ascii="Times New Roman" w:eastAsia="標楷體" w:hAnsi="Times New Roman" w:cs="Times New Roman"/>
                <w:noProof/>
                <w:sz w:val="28"/>
                <w:szCs w:val="28"/>
              </w:rPr>
              <w:t>壹、總則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_Toc37787655 \h </w:instrTex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2D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2EA0" w:rsidRPr="00302EA0" w:rsidRDefault="00B52DA0">
          <w:pPr>
            <w:pStyle w:val="21"/>
            <w:tabs>
              <w:tab w:val="right" w:leader="dot" w:pos="9204"/>
            </w:tabs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37787656" w:history="1">
            <w:r w:rsidR="00302EA0" w:rsidRPr="00302EA0">
              <w:rPr>
                <w:rStyle w:val="aa"/>
                <w:rFonts w:ascii="Times New Roman" w:eastAsia="標楷體" w:hAnsi="Times New Roman" w:cs="Times New Roman"/>
                <w:noProof/>
                <w:sz w:val="28"/>
                <w:szCs w:val="28"/>
              </w:rPr>
              <w:t>貳、組織架構與權責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_Toc37787656 \h </w:instrTex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2EA0" w:rsidRPr="00302EA0" w:rsidRDefault="00B52DA0">
          <w:pPr>
            <w:pStyle w:val="21"/>
            <w:tabs>
              <w:tab w:val="right" w:leader="dot" w:pos="9204"/>
            </w:tabs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37787657" w:history="1">
            <w:r w:rsidR="00302EA0" w:rsidRPr="00302EA0">
              <w:rPr>
                <w:rStyle w:val="aa"/>
                <w:rFonts w:ascii="Times New Roman" w:eastAsia="標楷體" w:hAnsi="Times New Roman" w:cs="Times New Roman"/>
                <w:noProof/>
                <w:sz w:val="28"/>
                <w:szCs w:val="28"/>
              </w:rPr>
              <w:t>參、控制活動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_Toc37787657 \h </w:instrTex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2EA0" w:rsidRPr="00302EA0" w:rsidRDefault="00B52DA0">
          <w:pPr>
            <w:pStyle w:val="21"/>
            <w:tabs>
              <w:tab w:val="right" w:leader="dot" w:pos="9204"/>
            </w:tabs>
            <w:rPr>
              <w:rFonts w:ascii="Times New Roman" w:eastAsia="標楷體" w:hAnsi="Times New Roman" w:cs="Times New Roman"/>
              <w:noProof/>
              <w:sz w:val="28"/>
              <w:szCs w:val="28"/>
            </w:rPr>
          </w:pPr>
          <w:hyperlink w:anchor="_Toc37787658" w:history="1">
            <w:r w:rsidR="00302EA0" w:rsidRPr="00302EA0">
              <w:rPr>
                <w:rStyle w:val="aa"/>
                <w:rFonts w:ascii="Times New Roman" w:eastAsia="標楷體" w:hAnsi="Times New Roman" w:cs="Times New Roman"/>
                <w:noProof/>
                <w:sz w:val="28"/>
                <w:szCs w:val="28"/>
              </w:rPr>
              <w:t>肆、內部控制之評估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_Toc37787658 \h </w:instrTex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2EA0" w:rsidRDefault="00B52DA0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37787659" w:history="1">
            <w:r w:rsidR="00302EA0" w:rsidRPr="00302EA0">
              <w:rPr>
                <w:rStyle w:val="aa"/>
                <w:rFonts w:ascii="Times New Roman" w:eastAsia="標楷體" w:hAnsi="Times New Roman" w:cs="Times New Roman"/>
                <w:noProof/>
                <w:sz w:val="28"/>
                <w:szCs w:val="28"/>
              </w:rPr>
              <w:t>伍、附則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instrText xml:space="preserve"> PAGEREF _Toc37787659 \h </w:instrTex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02EA0" w:rsidRPr="00302EA0">
              <w:rPr>
                <w:rFonts w:ascii="Times New Roman" w:eastAsia="標楷體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4349" w:rsidRDefault="00FD4349" w:rsidP="00137C52">
          <w:pPr>
            <w:spacing w:line="520" w:lineRule="exact"/>
          </w:pPr>
          <w:r w:rsidRPr="00FD4349">
            <w:rPr>
              <w:rFonts w:ascii="Times New Roman" w:eastAsia="標楷體" w:hAnsi="Times New Roman" w:cs="Times New Roman"/>
              <w:b/>
              <w:bCs/>
              <w:lang w:val="zh-TW"/>
            </w:rPr>
            <w:fldChar w:fldCharType="end"/>
          </w:r>
        </w:p>
      </w:sdtContent>
    </w:sdt>
    <w:p w:rsidR="00317D12" w:rsidRDefault="00317D12">
      <w:pPr>
        <w:widowControl/>
        <w:rPr>
          <w:rStyle w:val="a3"/>
          <w:rFonts w:ascii="標楷體" w:eastAsia="標楷體" w:hAnsi="標楷體"/>
        </w:rPr>
      </w:pPr>
      <w:r>
        <w:rPr>
          <w:rStyle w:val="a3"/>
          <w:rFonts w:ascii="標楷體" w:eastAsia="標楷體" w:hAnsi="標楷體"/>
        </w:rPr>
        <w:br w:type="page"/>
      </w:r>
    </w:p>
    <w:p w:rsidR="00317D12" w:rsidRPr="00331F15" w:rsidRDefault="00331F15" w:rsidP="00FD4349">
      <w:pPr>
        <w:pStyle w:val="2"/>
        <w:rPr>
          <w:rStyle w:val="a3"/>
          <w:rFonts w:ascii="標楷體" w:eastAsia="標楷體" w:hAnsi="標楷體"/>
          <w:sz w:val="32"/>
          <w:szCs w:val="32"/>
        </w:rPr>
      </w:pPr>
      <w:bookmarkStart w:id="2" w:name="_Toc37787655"/>
      <w:r w:rsidRPr="00331F15">
        <w:rPr>
          <w:rStyle w:val="a3"/>
          <w:rFonts w:ascii="標楷體" w:eastAsia="標楷體" w:hAnsi="標楷體" w:hint="eastAsia"/>
          <w:sz w:val="32"/>
          <w:szCs w:val="32"/>
        </w:rPr>
        <w:lastRenderedPageBreak/>
        <w:t>壹、</w:t>
      </w:r>
      <w:r w:rsidR="00E5605B">
        <w:rPr>
          <w:rStyle w:val="a3"/>
          <w:rFonts w:ascii="標楷體" w:eastAsia="標楷體" w:hAnsi="標楷體" w:hint="eastAsia"/>
          <w:sz w:val="32"/>
          <w:szCs w:val="32"/>
        </w:rPr>
        <w:t>總則</w:t>
      </w:r>
      <w:bookmarkEnd w:id="2"/>
    </w:p>
    <w:p w:rsidR="004D4F20" w:rsidRPr="00DB11D4" w:rsidRDefault="00331F15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一</w:t>
      </w:r>
      <w:r w:rsidR="0061426B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、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為落實</w:t>
      </w:r>
      <w:r w:rsidR="00D41E6F">
        <w:rPr>
          <w:rFonts w:ascii="標楷體" w:eastAsia="標楷體" w:hAnsi="標楷體" w:cs="CIDFont+F2" w:hint="eastAsia"/>
          <w:color w:val="000000"/>
          <w:kern w:val="0"/>
          <w:sz w:val="28"/>
          <w:szCs w:val="28"/>
        </w:rPr>
        <w:t>財團法人臺北市○○○基金會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（以下簡稱本會）內部控制</w:t>
      </w:r>
      <w:r w:rsidR="004D4F20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考量本會整體營運活動、組織業務、控制環境及管理需求</w:t>
      </w:r>
      <w:r w:rsidR="004D4F20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並為加強財務管理</w:t>
      </w:r>
      <w:r w:rsidR="004D4F20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以確保資產安全及提高經營績效</w:t>
      </w:r>
      <w:r w:rsidR="004D4F20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防杜不法情事</w:t>
      </w:r>
      <w:r w:rsidR="004D4F20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4D4F20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有效達成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組織目標</w:t>
      </w:r>
      <w:r w:rsidR="002E3F22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特訂定本制度。</w:t>
      </w:r>
    </w:p>
    <w:p w:rsidR="00331F15" w:rsidRPr="00DB11D4" w:rsidRDefault="00331F15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二</w:t>
      </w:r>
      <w:r w:rsidR="0061426B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、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本會</w:t>
      </w:r>
      <w:r w:rsidR="002E3F22" w:rsidRPr="009A5A92">
        <w:rPr>
          <w:rStyle w:val="a3"/>
          <w:rFonts w:ascii="標楷體" w:eastAsia="標楷體" w:hAnsi="標楷體" w:hint="eastAsia"/>
          <w:b w:val="0"/>
          <w:sz w:val="28"/>
          <w:szCs w:val="28"/>
        </w:rPr>
        <w:t>內部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控制應經董事會通過</w:t>
      </w:r>
      <w:r w:rsidR="002E3F22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並由全體董事、管理階層及所有員工共同遵行</w:t>
      </w:r>
      <w:r w:rsidR="002E3F22" w:rsidRPr="00DB11D4">
        <w:rPr>
          <w:rStyle w:val="a3"/>
          <w:rFonts w:ascii="標楷體" w:eastAsia="標楷體" w:hAnsi="標楷體"/>
          <w:b w:val="0"/>
          <w:sz w:val="28"/>
          <w:szCs w:val="28"/>
        </w:rPr>
        <w:t>，</w:t>
      </w:r>
      <w:r w:rsidR="002E3F22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以達成下列目標：</w:t>
      </w:r>
    </w:p>
    <w:p w:rsidR="002E3F22" w:rsidRDefault="002E3F22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proofErr w:type="gramStart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一</w:t>
      </w:r>
      <w:proofErr w:type="gramEnd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營運目標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組織營運必須有效率及效果。</w:t>
      </w:r>
    </w:p>
    <w:p w:rsidR="002E3F22" w:rsidRDefault="002E3F22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二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報導目標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內部及</w:t>
      </w:r>
      <w:proofErr w:type="gramStart"/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外部</w:t>
      </w:r>
      <w:r w:rsidRPr="002E3F22">
        <w:rPr>
          <w:rStyle w:val="a3"/>
          <w:rFonts w:ascii="標楷體" w:eastAsia="標楷體" w:hAnsi="標楷體" w:cstheme="majorBidi" w:hint="eastAsia"/>
          <w:b w:val="0"/>
          <w:sz w:val="28"/>
          <w:szCs w:val="28"/>
        </w:rPr>
        <w:t>、</w:t>
      </w:r>
      <w:proofErr w:type="gramEnd"/>
      <w:r>
        <w:rPr>
          <w:rStyle w:val="a3"/>
          <w:rFonts w:ascii="標楷體" w:eastAsia="標楷體" w:hAnsi="標楷體" w:cstheme="majorBidi" w:hint="eastAsia"/>
          <w:b w:val="0"/>
          <w:sz w:val="28"/>
          <w:szCs w:val="28"/>
        </w:rPr>
        <w:t>財物及非財務之</w:t>
      </w:r>
      <w:proofErr w:type="gramStart"/>
      <w:r>
        <w:rPr>
          <w:rStyle w:val="a3"/>
          <w:rFonts w:ascii="標楷體" w:eastAsia="標楷體" w:hAnsi="標楷體" w:cstheme="majorBidi" w:hint="eastAsia"/>
          <w:b w:val="0"/>
          <w:sz w:val="28"/>
          <w:szCs w:val="28"/>
        </w:rPr>
        <w:t>報導均需具備</w:t>
      </w:r>
      <w:proofErr w:type="gramEnd"/>
      <w:r>
        <w:rPr>
          <w:rStyle w:val="a3"/>
          <w:rFonts w:ascii="標楷體" w:eastAsia="標楷體" w:hAnsi="標楷體" w:cstheme="majorBidi" w:hint="eastAsia"/>
          <w:b w:val="0"/>
          <w:sz w:val="28"/>
          <w:szCs w:val="28"/>
        </w:rPr>
        <w:t>可靠性、即時性及透明性。</w:t>
      </w:r>
    </w:p>
    <w:p w:rsidR="002E3F22" w:rsidRDefault="002E3F22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三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遵循目標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必須確實遵循相關法規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政策也需符合相關法令規範。</w:t>
      </w:r>
    </w:p>
    <w:p w:rsidR="00331F15" w:rsidRPr="00DB11D4" w:rsidRDefault="00331F15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三</w:t>
      </w:r>
      <w:r w:rsidR="0061426B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、</w:t>
      </w:r>
      <w:r w:rsidR="009B180C"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控制活動</w:t>
      </w:r>
    </w:p>
    <w:p w:rsidR="00E5605B" w:rsidRDefault="00E5605B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proofErr w:type="gramStart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一</w:t>
      </w:r>
      <w:proofErr w:type="gramEnd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控制環境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其原則如下：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展現正直及道德價值承諾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董事會有監督內部控制制度修訂及運作之義務</w:t>
      </w:r>
      <w:r w:rsidR="004D4F2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與責任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3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="004D4F2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管理階層經董事會授權建立組織架構、指揮授權機制及責任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4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="004D4F2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為達到內部控制目標組織需致力於培育充分適任之人才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5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="004D4F2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內部控制制度之責任與結果須</w:t>
      </w:r>
      <w:proofErr w:type="gramStart"/>
      <w:r w:rsidR="004D4F2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適當課責</w:t>
      </w:r>
      <w:proofErr w:type="gramEnd"/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Default="00E5605B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二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風險評估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其原則如下：</w:t>
      </w:r>
    </w:p>
    <w:p w:rsidR="004D4F20" w:rsidRPr="003F2552" w:rsidRDefault="004D4F20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具體指明適當目標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。</w:t>
      </w:r>
    </w:p>
    <w:p w:rsidR="004D4F20" w:rsidRPr="003F2552" w:rsidRDefault="004D4F20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依目標辨識及分析風險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4D4F20" w:rsidRPr="003F2552" w:rsidRDefault="004D4F20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lastRenderedPageBreak/>
        <w:t>3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評估舞弊之風險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4D4F20" w:rsidRDefault="004D4F20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4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辨識及評估環境重大改變所導致之風險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4D4F20" w:rsidRPr="004D4F20" w:rsidRDefault="004D4F20" w:rsidP="00FD4349">
      <w:pPr>
        <w:pStyle w:val="a4"/>
        <w:spacing w:afterLines="30" w:after="108" w:line="560" w:lineRule="exact"/>
        <w:ind w:leftChars="600" w:left="14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本會應綜合考量風險評估結果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以協助即時設計、修正必要之控制作業。</w:t>
      </w:r>
    </w:p>
    <w:p w:rsidR="00E5605B" w:rsidRDefault="00E5605B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三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控制</w:t>
      </w:r>
      <w:r w:rsidR="00302EA0">
        <w:rPr>
          <w:rStyle w:val="a3"/>
          <w:rFonts w:ascii="標楷體" w:eastAsia="標楷體" w:hAnsi="標楷體" w:hint="eastAsia"/>
          <w:b w:val="0"/>
          <w:sz w:val="28"/>
          <w:szCs w:val="28"/>
        </w:rPr>
        <w:t>活動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其原則如下：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選擇並建立控制作業以降低目標之風險至可接受水準。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透過科技</w:t>
      </w:r>
      <w:r w:rsidR="00FB0C4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資訊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選擇並建立一般控制作業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，以支持目標達成。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552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3F2552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. 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制定政策及程序建置控制作業。透過設立完善之控制作業，以幫助董事會及各層級經理人確保其風險回應得以被執行。</w:t>
      </w:r>
    </w:p>
    <w:p w:rsidR="00E5605B" w:rsidRDefault="00E5605B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四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資訊</w:t>
      </w:r>
      <w:r w:rsidR="00302EA0">
        <w:rPr>
          <w:rStyle w:val="a3"/>
          <w:rFonts w:ascii="標楷體" w:eastAsia="標楷體" w:hAnsi="標楷體" w:hint="eastAsia"/>
          <w:b w:val="0"/>
          <w:sz w:val="28"/>
          <w:szCs w:val="28"/>
        </w:rPr>
        <w:t>與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溝通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其原則如下：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蒐集、產生並利用</w:t>
      </w:r>
      <w:proofErr w:type="gramStart"/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攸</w:t>
      </w:r>
      <w:proofErr w:type="gramEnd"/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關資訊支持內部控制制度運作</w:t>
      </w:r>
      <w:r w:rsidRPr="003F2552">
        <w:rPr>
          <w:rStyle w:val="a3"/>
          <w:rFonts w:ascii="Times New Roman" w:eastAsia="標楷體" w:hAnsi="標楷體" w:cs="Times New Roman"/>
          <w:b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內部控制之運作須要內部溝通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3</w:t>
      </w: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向外部溝通內部控制相關事項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伍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Pr="00E5605B">
        <w:rPr>
          <w:rStyle w:val="a3"/>
          <w:rFonts w:ascii="標楷體" w:eastAsia="標楷體" w:hAnsi="標楷體" w:hint="eastAsia"/>
          <w:b w:val="0"/>
          <w:sz w:val="28"/>
          <w:szCs w:val="28"/>
        </w:rPr>
        <w:t>監督</w:t>
      </w:r>
      <w:r w:rsidRPr="00E5605B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3F2552">
        <w:rPr>
          <w:rFonts w:ascii="Times New Roman" w:eastAsia="標楷體" w:hAnsi="標楷體" w:cs="Times New Roman" w:hint="eastAsia"/>
          <w:kern w:val="0"/>
          <w:sz w:val="28"/>
          <w:szCs w:val="28"/>
        </w:rPr>
        <w:t>其原則如下：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持續評估內部控制制度及個別績效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。</w:t>
      </w:r>
    </w:p>
    <w:p w:rsidR="00E5605B" w:rsidRPr="003F2552" w:rsidRDefault="00E5605B" w:rsidP="00FD4349">
      <w:pPr>
        <w:pStyle w:val="a4"/>
        <w:spacing w:afterLines="30" w:after="108" w:line="560" w:lineRule="exact"/>
        <w:ind w:leftChars="600" w:left="1804" w:hangingChars="130" w:hanging="364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F2552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2.</w:t>
      </w:r>
      <w:r w:rsidRPr="003F255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 w:rsidRPr="003F255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評估及溝通檢討內部控制制度各項缺失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E5605B" w:rsidRPr="00E5605B" w:rsidRDefault="00E5605B" w:rsidP="00E5605B"/>
    <w:p w:rsidR="0061426B" w:rsidRPr="00331F15" w:rsidRDefault="0061426B" w:rsidP="00FD4349">
      <w:pPr>
        <w:pStyle w:val="2"/>
        <w:rPr>
          <w:rStyle w:val="a3"/>
          <w:rFonts w:ascii="標楷體" w:eastAsia="標楷體" w:hAnsi="標楷體"/>
          <w:sz w:val="32"/>
          <w:szCs w:val="32"/>
        </w:rPr>
      </w:pPr>
      <w:r w:rsidRPr="003F2552">
        <w:br w:type="page"/>
      </w:r>
      <w:bookmarkStart w:id="3" w:name="_Toc37787656"/>
      <w:r>
        <w:rPr>
          <w:rStyle w:val="a3"/>
          <w:rFonts w:ascii="標楷體" w:eastAsia="標楷體" w:hAnsi="標楷體" w:hint="eastAsia"/>
          <w:sz w:val="32"/>
          <w:szCs w:val="32"/>
        </w:rPr>
        <w:lastRenderedPageBreak/>
        <w:t>貳</w:t>
      </w:r>
      <w:r w:rsidRPr="00331F15">
        <w:rPr>
          <w:rStyle w:val="a3"/>
          <w:rFonts w:ascii="標楷體" w:eastAsia="標楷體" w:hAnsi="標楷體" w:hint="eastAsia"/>
          <w:sz w:val="32"/>
          <w:szCs w:val="32"/>
        </w:rPr>
        <w:t>、</w:t>
      </w:r>
      <w:r>
        <w:rPr>
          <w:rStyle w:val="a3"/>
          <w:rFonts w:ascii="標楷體" w:eastAsia="標楷體" w:hAnsi="標楷體" w:hint="eastAsia"/>
          <w:sz w:val="32"/>
          <w:szCs w:val="32"/>
        </w:rPr>
        <w:t>組織架構與權責</w:t>
      </w:r>
      <w:bookmarkEnd w:id="3"/>
    </w:p>
    <w:p w:rsidR="0061426B" w:rsidRPr="00DB11D4" w:rsidRDefault="0061426B" w:rsidP="00DB11D4">
      <w:pPr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一、本會組織架構</w:t>
      </w:r>
      <w:r w:rsidR="00D41E6F">
        <w:rPr>
          <w:rFonts w:ascii="標楷體" w:eastAsia="標楷體" w:hAnsi="標楷體" w:cs="CIDFont+F2" w:hint="eastAsia"/>
          <w:color w:val="FF0000"/>
          <w:kern w:val="0"/>
          <w:sz w:val="28"/>
          <w:szCs w:val="28"/>
        </w:rPr>
        <w:t>(財團法人請依實際情況列示)</w:t>
      </w:r>
    </w:p>
    <w:p w:rsidR="0061426B" w:rsidRDefault="0061426B" w:rsidP="0061426B"/>
    <w:p w:rsidR="0061426B" w:rsidRDefault="0061426B" w:rsidP="00683592"/>
    <w:p w:rsidR="0061426B" w:rsidRDefault="0061426B" w:rsidP="0061426B"/>
    <w:p w:rsidR="003F2552" w:rsidRPr="00DB11D4" w:rsidRDefault="0061426B" w:rsidP="00DB11D4">
      <w:pPr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二、各級主管、各單位權責詳如捐助章程及本會分層授權規定。</w:t>
      </w:r>
    </w:p>
    <w:p w:rsidR="003F2552" w:rsidRDefault="003F2552" w:rsidP="003F2552">
      <w:pPr>
        <w:rPr>
          <w:rStyle w:val="a3"/>
          <w:rFonts w:ascii="標楷體" w:eastAsia="標楷體" w:hAnsi="標楷體" w:cstheme="majorBidi"/>
          <w:sz w:val="28"/>
          <w:szCs w:val="28"/>
        </w:rPr>
      </w:pPr>
      <w:r>
        <w:rPr>
          <w:rStyle w:val="a3"/>
          <w:rFonts w:ascii="標楷體" w:eastAsia="標楷體" w:hAnsi="標楷體"/>
          <w:sz w:val="28"/>
          <w:szCs w:val="28"/>
        </w:rPr>
        <w:br w:type="page"/>
      </w:r>
    </w:p>
    <w:p w:rsidR="003F2552" w:rsidRPr="00331F15" w:rsidRDefault="003F2552" w:rsidP="00FD4349">
      <w:pPr>
        <w:pStyle w:val="2"/>
        <w:rPr>
          <w:rStyle w:val="a3"/>
          <w:rFonts w:ascii="標楷體" w:eastAsia="標楷體" w:hAnsi="標楷體"/>
          <w:sz w:val="32"/>
          <w:szCs w:val="32"/>
        </w:rPr>
      </w:pPr>
      <w:bookmarkStart w:id="4" w:name="_Toc37787657"/>
      <w:r>
        <w:rPr>
          <w:rStyle w:val="a3"/>
          <w:rFonts w:ascii="標楷體" w:eastAsia="標楷體" w:hAnsi="標楷體" w:hint="eastAsia"/>
          <w:sz w:val="32"/>
          <w:szCs w:val="32"/>
        </w:rPr>
        <w:lastRenderedPageBreak/>
        <w:t>參</w:t>
      </w:r>
      <w:r w:rsidRPr="00331F15">
        <w:rPr>
          <w:rStyle w:val="a3"/>
          <w:rFonts w:ascii="標楷體" w:eastAsia="標楷體" w:hAnsi="標楷體" w:hint="eastAsia"/>
          <w:sz w:val="32"/>
          <w:szCs w:val="32"/>
        </w:rPr>
        <w:t>、</w:t>
      </w:r>
      <w:r>
        <w:rPr>
          <w:rStyle w:val="a3"/>
          <w:rFonts w:ascii="標楷體" w:eastAsia="標楷體" w:hAnsi="標楷體" w:hint="eastAsia"/>
          <w:sz w:val="32"/>
          <w:szCs w:val="32"/>
        </w:rPr>
        <w:t>控制</w:t>
      </w:r>
      <w:r w:rsidR="00302EA0">
        <w:rPr>
          <w:rStyle w:val="a3"/>
          <w:rFonts w:ascii="標楷體" w:eastAsia="標楷體" w:hAnsi="標楷體" w:hint="eastAsia"/>
          <w:sz w:val="32"/>
          <w:szCs w:val="32"/>
        </w:rPr>
        <w:t>活動</w:t>
      </w:r>
      <w:bookmarkEnd w:id="4"/>
    </w:p>
    <w:p w:rsidR="003F2552" w:rsidRPr="003F2552" w:rsidRDefault="003F2552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一、本會控制</w:t>
      </w:r>
      <w:r w:rsidR="00302EA0">
        <w:rPr>
          <w:rStyle w:val="a3"/>
          <w:rFonts w:ascii="標楷體" w:eastAsia="標楷體" w:hAnsi="標楷體" w:hint="eastAsia"/>
          <w:b w:val="0"/>
          <w:sz w:val="28"/>
          <w:szCs w:val="28"/>
        </w:rPr>
        <w:t>活動</w:t>
      </w: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在成本效益考量下</w:t>
      </w:r>
      <w:r w:rsidRPr="00DB11D4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Pr="00DB11D4">
        <w:rPr>
          <w:rFonts w:ascii="Times New Roman" w:eastAsia="標楷體" w:hAnsi="標楷體" w:cs="Times New Roman" w:hint="eastAsia"/>
          <w:kern w:val="0"/>
          <w:sz w:val="28"/>
          <w:szCs w:val="28"/>
        </w:rPr>
        <w:t>涵</w:t>
      </w:r>
      <w:proofErr w:type="gramStart"/>
      <w:r w:rsidRPr="00DB11D4">
        <w:rPr>
          <w:rFonts w:ascii="Times New Roman" w:eastAsia="標楷體" w:hAnsi="標楷體" w:cs="Times New Roman" w:hint="eastAsia"/>
          <w:kern w:val="0"/>
          <w:sz w:val="28"/>
          <w:szCs w:val="28"/>
        </w:rPr>
        <w:t>括</w:t>
      </w:r>
      <w:proofErr w:type="gramEnd"/>
      <w:r w:rsidRPr="00DB11D4"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有營運活動之相關作業程序及控制重點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並進行風險評估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以有效確認風險發生率與剩餘風險之影響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作為後續自行檢查之考量依據。</w:t>
      </w:r>
    </w:p>
    <w:p w:rsidR="000879E9" w:rsidRPr="00DB11D4" w:rsidRDefault="000879E9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二、凡規範本會全體同仁權利義務、重要事項或共通性事務之規章、管理措施或資訊安全品質文件作業表單，</w:t>
      </w:r>
      <w:proofErr w:type="gramStart"/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均為內部</w:t>
      </w:r>
      <w:proofErr w:type="gramEnd"/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控制之作業程序及控制重點。</w:t>
      </w:r>
    </w:p>
    <w:p w:rsidR="000879E9" w:rsidRPr="00DB11D4" w:rsidRDefault="000879E9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三、本會控制</w:t>
      </w:r>
      <w:r w:rsidR="00302EA0">
        <w:rPr>
          <w:rStyle w:val="a3"/>
          <w:rFonts w:ascii="標楷體" w:eastAsia="標楷體" w:hAnsi="標楷體" w:hint="eastAsia"/>
          <w:b w:val="0"/>
          <w:sz w:val="28"/>
          <w:szCs w:val="28"/>
        </w:rPr>
        <w:t>活動</w:t>
      </w: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項目涵蓋營運及管理各項作業循環：</w:t>
      </w:r>
      <w:r w:rsidR="00F72208">
        <w:rPr>
          <w:rFonts w:ascii="標楷體" w:eastAsia="標楷體" w:hAnsi="標楷體" w:cs="CIDFont+F2" w:hint="eastAsia"/>
          <w:color w:val="FF0000"/>
          <w:kern w:val="0"/>
          <w:sz w:val="28"/>
          <w:szCs w:val="28"/>
        </w:rPr>
        <w:t>(</w:t>
      </w:r>
      <w:r w:rsidR="00F72208" w:rsidRPr="00B14590">
        <w:rPr>
          <w:rFonts w:ascii="標楷體" w:eastAsia="標楷體" w:hAnsi="標楷體" w:cs="CIDFont+F2" w:hint="eastAsia"/>
          <w:b/>
          <w:color w:val="FF0000"/>
          <w:kern w:val="0"/>
          <w:sz w:val="28"/>
          <w:szCs w:val="28"/>
        </w:rPr>
        <w:t>財團法人請依實際情況列示</w:t>
      </w:r>
      <w:r w:rsidR="00F72208">
        <w:rPr>
          <w:rFonts w:ascii="標楷體" w:eastAsia="標楷體" w:hAnsi="標楷體" w:cs="CIDFont+F2" w:hint="eastAsia"/>
          <w:color w:val="FF0000"/>
          <w:kern w:val="0"/>
          <w:sz w:val="28"/>
          <w:szCs w:val="28"/>
        </w:rPr>
        <w:t>)</w:t>
      </w:r>
    </w:p>
    <w:p w:rsidR="000879E9" w:rsidRPr="003F2552" w:rsidRDefault="000879E9" w:rsidP="00FD4349">
      <w:pPr>
        <w:pStyle w:val="a4"/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proofErr w:type="gramStart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一</w:t>
      </w:r>
      <w:proofErr w:type="gramEnd"/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收入作業管理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：如</w:t>
      </w:r>
      <w:r w:rsidR="00026234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捐贈收入、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計畫管考、政府</w:t>
      </w:r>
      <w:r w:rsid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補助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收入管理、相關政策及執行之程序等。</w:t>
      </w:r>
    </w:p>
    <w:p w:rsidR="000879E9" w:rsidRDefault="000879E9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二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支出作業管理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：如採購流程、驗收付款等。</w:t>
      </w:r>
    </w:p>
    <w:p w:rsidR="000879E9" w:rsidRDefault="000879E9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三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會計作業管理：</w:t>
      </w:r>
      <w:r w:rsidR="003E74D3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包括預算、財務報表編製流程等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。</w:t>
      </w:r>
    </w:p>
    <w:p w:rsidR="003E74D3" w:rsidRDefault="003E74D3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四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人事作業管理：如雇用、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出勤、休假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、退休、考勤及考核等之政策及程序等。</w:t>
      </w:r>
    </w:p>
    <w:p w:rsidR="003E74D3" w:rsidRDefault="003E74D3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五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資產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管理：如資產之取得、處分、維護、保管與紀錄及折舊提列等之政策及程序等。</w:t>
      </w:r>
    </w:p>
    <w:p w:rsidR="003E74D3" w:rsidRDefault="003E74D3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六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財產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管理：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如財團法人法第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19</w:t>
      </w:r>
      <w:r w:rsidR="00B14590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條之各項財產運用之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決策、買賣、保管與紀錄等政策及程序。</w:t>
      </w:r>
    </w:p>
    <w:p w:rsidR="003E74D3" w:rsidRDefault="003E74D3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七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)</w:t>
      </w:r>
      <w:r w:rsidR="00DE4392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資訊安全管理：如</w:t>
      </w:r>
      <w:r w:rsidR="00471F9C" w:rsidRP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資訊系統維運</w:t>
      </w:r>
      <w:r w:rsidR="009D029B" w:rsidRP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與管理</w:t>
      </w:r>
      <w:r w:rsid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及</w:t>
      </w:r>
      <w:r w:rsidR="00DE4392" w:rsidRP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資通安全管理</w:t>
      </w:r>
      <w:r w:rsid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等</w:t>
      </w:r>
      <w:r w:rsidR="00DE4392" w:rsidRP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作業</w:t>
      </w:r>
      <w:r w:rsidR="009D029B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。</w:t>
      </w:r>
    </w:p>
    <w:p w:rsidR="00437125" w:rsidRDefault="00437125" w:rsidP="00FD4349">
      <w:pPr>
        <w:spacing w:beforeLines="50" w:before="180" w:afterLines="50" w:after="180" w:line="480" w:lineRule="exact"/>
        <w:ind w:leftChars="400" w:left="1604" w:hangingChars="230" w:hanging="644"/>
        <w:jc w:val="both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(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八</w:t>
      </w:r>
      <w:r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 xml:space="preserve">) 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其他：如</w:t>
      </w:r>
      <w:r w:rsidR="00DE4392"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印鑑管理、</w:t>
      </w:r>
      <w:r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  <w:t>職務授權及代理人制度、董事會議事運作、對外補助或捐贈、資訊公開、文書等作業之管理。</w:t>
      </w:r>
    </w:p>
    <w:p w:rsidR="00DE4392" w:rsidRDefault="00DE4392">
      <w:pPr>
        <w:widowControl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/>
          <w:b w:val="0"/>
          <w:sz w:val="28"/>
          <w:szCs w:val="28"/>
        </w:rPr>
        <w:br w:type="page"/>
      </w:r>
    </w:p>
    <w:p w:rsidR="00437125" w:rsidRDefault="00437125" w:rsidP="009A5A92">
      <w:pPr>
        <w:spacing w:line="480" w:lineRule="exact"/>
        <w:ind w:leftChars="211" w:left="1091" w:hangingChars="209" w:hanging="585"/>
        <w:rPr>
          <w:rStyle w:val="a3"/>
          <w:rFonts w:ascii="標楷體" w:eastAsia="標楷體" w:hAnsi="標楷體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lastRenderedPageBreak/>
        <w:t>四、建立上列項目之內部控制作業時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由相關業務單位考量內部控制組成要素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設計相關之規範或流程圖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以利本會人員據以執行相關業務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並應適時維護之。</w:t>
      </w:r>
    </w:p>
    <w:p w:rsidR="00437125" w:rsidRPr="00331F15" w:rsidRDefault="00437125" w:rsidP="00FD4349">
      <w:pPr>
        <w:pStyle w:val="2"/>
        <w:rPr>
          <w:rStyle w:val="a3"/>
          <w:rFonts w:ascii="標楷體" w:eastAsia="標楷體" w:hAnsi="標楷體"/>
          <w:sz w:val="32"/>
          <w:szCs w:val="32"/>
        </w:rPr>
      </w:pPr>
      <w:bookmarkStart w:id="5" w:name="_Toc37787658"/>
      <w:r>
        <w:rPr>
          <w:rStyle w:val="a3"/>
          <w:rFonts w:ascii="標楷體" w:eastAsia="標楷體" w:hAnsi="標楷體" w:hint="eastAsia"/>
          <w:sz w:val="32"/>
          <w:szCs w:val="32"/>
        </w:rPr>
        <w:t>肆</w:t>
      </w:r>
      <w:r w:rsidRPr="00331F15">
        <w:rPr>
          <w:rStyle w:val="a3"/>
          <w:rFonts w:ascii="標楷體" w:eastAsia="標楷體" w:hAnsi="標楷體" w:hint="eastAsia"/>
          <w:sz w:val="32"/>
          <w:szCs w:val="32"/>
        </w:rPr>
        <w:t>、</w:t>
      </w:r>
      <w:r>
        <w:rPr>
          <w:rStyle w:val="a3"/>
          <w:rFonts w:ascii="標楷體" w:eastAsia="標楷體" w:hAnsi="標楷體" w:hint="eastAsia"/>
          <w:sz w:val="32"/>
          <w:szCs w:val="32"/>
        </w:rPr>
        <w:t>內部控制之評估</w:t>
      </w:r>
      <w:bookmarkEnd w:id="5"/>
    </w:p>
    <w:p w:rsidR="00437125" w:rsidRDefault="00437125" w:rsidP="009A5A92">
      <w:pPr>
        <w:spacing w:line="480" w:lineRule="exact"/>
        <w:ind w:leftChars="211" w:left="1091" w:hangingChars="209" w:hanging="585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一、自行評估：本會每年應至少辦理一次自行評估</w:t>
      </w:r>
      <w:r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="008D0A27">
        <w:rPr>
          <w:rFonts w:ascii="Times New Roman" w:eastAsia="標楷體" w:hAnsi="標楷體" w:cs="Times New Roman" w:hint="eastAsia"/>
          <w:kern w:val="0"/>
          <w:sz w:val="28"/>
          <w:szCs w:val="28"/>
        </w:rPr>
        <w:t>對於所發現之內部控制制度缺失</w:t>
      </w:r>
      <w:r w:rsidR="008D0A27"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="008D0A27">
        <w:rPr>
          <w:rFonts w:ascii="Times New Roman" w:eastAsia="標楷體" w:hAnsi="標楷體" w:cs="Times New Roman" w:hint="eastAsia"/>
          <w:kern w:val="0"/>
          <w:sz w:val="28"/>
          <w:szCs w:val="28"/>
        </w:rPr>
        <w:t>應向適當層級之管理階層、董事會及</w:t>
      </w:r>
      <w:r w:rsidR="008D0A27" w:rsidRPr="00DE439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監察人</w:t>
      </w:r>
      <w:r w:rsidR="00DE4392" w:rsidRPr="00DE439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proofErr w:type="gramStart"/>
      <w:r w:rsidR="00DE4392" w:rsidRPr="00DE439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註</w:t>
      </w:r>
      <w:proofErr w:type="gramEnd"/>
      <w:r w:rsidR="00DE4392" w:rsidRPr="00DE439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1)</w:t>
      </w:r>
      <w:r w:rsidR="008D0A27">
        <w:rPr>
          <w:rFonts w:ascii="Times New Roman" w:eastAsia="標楷體" w:hAnsi="標楷體" w:cs="Times New Roman" w:hint="eastAsia"/>
          <w:kern w:val="0"/>
          <w:sz w:val="28"/>
          <w:szCs w:val="28"/>
        </w:rPr>
        <w:t>溝通</w:t>
      </w:r>
      <w:r w:rsidR="008D0A27" w:rsidRPr="003F2552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 w:rsidR="008D0A27">
        <w:rPr>
          <w:rFonts w:ascii="Times New Roman" w:eastAsia="標楷體" w:hAnsi="標楷體" w:cs="Times New Roman" w:hint="eastAsia"/>
          <w:kern w:val="0"/>
          <w:sz w:val="28"/>
          <w:szCs w:val="28"/>
        </w:rPr>
        <w:t>並即時改善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。</w:t>
      </w:r>
    </w:p>
    <w:p w:rsidR="008D0A27" w:rsidRDefault="008D0A27" w:rsidP="009A5A92">
      <w:pPr>
        <w:spacing w:line="480" w:lineRule="exact"/>
        <w:ind w:leftChars="211" w:left="1091" w:hangingChars="209" w:hanging="585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二、內部稽核：本會得委託會計師查核內部控制制度設計及執行是否有效</w:t>
      </w:r>
      <w:r w:rsidRPr="00DB11D4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並進行改善</w:t>
      </w:r>
      <w:r w:rsidRPr="008D0A27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以確保制度有效運作。</w:t>
      </w:r>
    </w:p>
    <w:p w:rsidR="008D0A27" w:rsidRPr="00331F15" w:rsidRDefault="008D0A27" w:rsidP="00FD4349">
      <w:pPr>
        <w:pStyle w:val="2"/>
        <w:rPr>
          <w:rStyle w:val="a3"/>
          <w:rFonts w:ascii="標楷體" w:eastAsia="標楷體" w:hAnsi="標楷體"/>
          <w:sz w:val="32"/>
          <w:szCs w:val="32"/>
        </w:rPr>
      </w:pPr>
      <w:bookmarkStart w:id="6" w:name="_Toc37787659"/>
      <w:r>
        <w:rPr>
          <w:rStyle w:val="a3"/>
          <w:rFonts w:ascii="標楷體" w:eastAsia="標楷體" w:hAnsi="標楷體" w:hint="eastAsia"/>
          <w:sz w:val="32"/>
          <w:szCs w:val="32"/>
        </w:rPr>
        <w:t>伍</w:t>
      </w:r>
      <w:r w:rsidRPr="00331F15">
        <w:rPr>
          <w:rStyle w:val="a3"/>
          <w:rFonts w:ascii="標楷體" w:eastAsia="標楷體" w:hAnsi="標楷體" w:hint="eastAsia"/>
          <w:sz w:val="32"/>
          <w:szCs w:val="32"/>
        </w:rPr>
        <w:t>、</w:t>
      </w:r>
      <w:r>
        <w:rPr>
          <w:rStyle w:val="a3"/>
          <w:rFonts w:ascii="標楷體" w:eastAsia="標楷體" w:hAnsi="標楷體" w:hint="eastAsia"/>
          <w:sz w:val="32"/>
          <w:szCs w:val="32"/>
        </w:rPr>
        <w:t>附則</w:t>
      </w:r>
      <w:bookmarkEnd w:id="6"/>
    </w:p>
    <w:p w:rsidR="008D0A27" w:rsidRDefault="008D0A27" w:rsidP="009A5A92">
      <w:pPr>
        <w:spacing w:line="480" w:lineRule="exact"/>
        <w:ind w:leftChars="211" w:left="1091" w:hangingChars="209" w:hanging="585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一、本會內部控制之有關資料及報告等</w:t>
      </w:r>
      <w:r w:rsidRPr="008D0A27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應建立檔案</w:t>
      </w:r>
      <w:r w:rsidRPr="008D0A27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妥慎管理；相關執行紀錄應留存備查</w:t>
      </w:r>
      <w:r w:rsidRPr="008D0A27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依業務特性至少保存五年。</w:t>
      </w:r>
    </w:p>
    <w:p w:rsidR="008D0A27" w:rsidRDefault="008D0A27" w:rsidP="009A5A92">
      <w:pPr>
        <w:spacing w:line="480" w:lineRule="exact"/>
        <w:ind w:leftChars="211" w:left="1091" w:hangingChars="209" w:hanging="585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二、本制度經本會董事會通過後報請</w:t>
      </w:r>
      <w:r w:rsidR="00D41E6F">
        <w:rPr>
          <w:rStyle w:val="a3"/>
          <w:rFonts w:ascii="標楷體" w:eastAsia="標楷體" w:hAnsi="標楷體" w:hint="eastAsia"/>
          <w:b w:val="0"/>
          <w:sz w:val="28"/>
          <w:szCs w:val="28"/>
        </w:rPr>
        <w:t>臺北市政府社會局</w:t>
      </w:r>
      <w:r w:rsidRPr="00DB11D4">
        <w:rPr>
          <w:rStyle w:val="a3"/>
          <w:rFonts w:ascii="標楷體" w:eastAsia="標楷體" w:hAnsi="標楷體" w:hint="eastAsia"/>
          <w:b w:val="0"/>
          <w:sz w:val="28"/>
          <w:szCs w:val="28"/>
        </w:rPr>
        <w:t>備查</w:t>
      </w:r>
      <w:r w:rsidRPr="008D0A27">
        <w:rPr>
          <w:rFonts w:ascii="Times New Roman" w:eastAsia="標楷體" w:hAnsi="標楷體" w:cs="Times New Roman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修正時亦同。</w:t>
      </w:r>
    </w:p>
    <w:p w:rsidR="003E74D3" w:rsidRDefault="003E74D3" w:rsidP="00A24F91">
      <w:pPr>
        <w:spacing w:beforeLines="50" w:before="180" w:afterLines="50" w:after="180" w:line="480" w:lineRule="exact"/>
        <w:ind w:leftChars="400" w:left="1604" w:hangingChars="230" w:hanging="644"/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</w:pPr>
    </w:p>
    <w:p w:rsidR="00DE4392" w:rsidRDefault="00DE4392" w:rsidP="00A24F91">
      <w:pPr>
        <w:spacing w:beforeLines="50" w:before="180" w:afterLines="50" w:after="180" w:line="480" w:lineRule="exact"/>
        <w:ind w:leftChars="400" w:left="1604" w:hangingChars="230" w:hanging="644"/>
        <w:rPr>
          <w:rStyle w:val="a3"/>
          <w:rFonts w:ascii="Times New Roman" w:eastAsia="標楷體" w:hAnsi="標楷體" w:cs="Times New Roman" w:hint="eastAsia"/>
          <w:b w:val="0"/>
          <w:sz w:val="28"/>
          <w:szCs w:val="28"/>
        </w:rPr>
      </w:pPr>
    </w:p>
    <w:p w:rsidR="00DE4392" w:rsidRPr="003E74D3" w:rsidRDefault="00DE4392" w:rsidP="00DE4392">
      <w:pPr>
        <w:spacing w:beforeLines="50" w:before="180" w:afterLines="50" w:after="180" w:line="480" w:lineRule="exact"/>
        <w:ind w:leftChars="400" w:left="1512" w:hangingChars="230" w:hanging="552"/>
        <w:rPr>
          <w:rStyle w:val="a3"/>
          <w:rFonts w:ascii="Times New Roman" w:eastAsia="標楷體" w:hAnsi="標楷體" w:cs="Times New Roman"/>
          <w:b w:val="0"/>
          <w:sz w:val="28"/>
          <w:szCs w:val="28"/>
        </w:rPr>
      </w:pPr>
      <w:proofErr w:type="gramStart"/>
      <w:r>
        <w:rPr>
          <w:rFonts w:ascii="Times New Roman" w:eastAsia="標楷體" w:hAnsi="標楷體" w:cs="Times New Roman" w:hint="eastAsia"/>
          <w:color w:val="FF0000"/>
          <w:kern w:val="0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>
        <w:rPr>
          <w:rFonts w:ascii="Times New Roman" w:eastAsia="標楷體" w:hAnsi="標楷體" w:cs="Times New Roman" w:hint="eastAsia"/>
          <w:color w:val="FF0000"/>
          <w:kern w:val="0"/>
          <w:szCs w:val="24"/>
        </w:rPr>
        <w:t>：法人如未設有監察人，請刪除監察人</w:t>
      </w:r>
      <w:r w:rsidR="00B52D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相關文字</w:t>
      </w:r>
      <w:r>
        <w:rPr>
          <w:rFonts w:ascii="Times New Roman" w:eastAsia="標楷體" w:hAnsi="標楷體" w:cs="Times New Roman" w:hint="eastAsia"/>
          <w:color w:val="FF0000"/>
          <w:kern w:val="0"/>
          <w:szCs w:val="24"/>
        </w:rPr>
        <w:t>。</w:t>
      </w:r>
    </w:p>
    <w:sectPr w:rsidR="00DE4392" w:rsidRPr="003E74D3" w:rsidSect="004541FC">
      <w:footerReference w:type="default" r:id="rId8"/>
      <w:pgSz w:w="11906" w:h="16838"/>
      <w:pgMar w:top="1440" w:right="991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EE" w:rsidRDefault="004526EE" w:rsidP="00B666D3">
      <w:r>
        <w:separator/>
      </w:r>
    </w:p>
  </w:endnote>
  <w:endnote w:type="continuationSeparator" w:id="0">
    <w:p w:rsidR="004526EE" w:rsidRDefault="004526EE" w:rsidP="00B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15829"/>
      <w:docPartObj>
        <w:docPartGallery w:val="Page Numbers (Bottom of Page)"/>
        <w:docPartUnique/>
      </w:docPartObj>
    </w:sdtPr>
    <w:sdtEndPr/>
    <w:sdtContent>
      <w:p w:rsidR="004541FC" w:rsidRDefault="00E83A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A0" w:rsidRPr="00B52DA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541FC" w:rsidRDefault="004541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EE" w:rsidRDefault="004526EE" w:rsidP="00B666D3">
      <w:r>
        <w:separator/>
      </w:r>
    </w:p>
  </w:footnote>
  <w:footnote w:type="continuationSeparator" w:id="0">
    <w:p w:rsidR="004526EE" w:rsidRDefault="004526EE" w:rsidP="00B6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D12"/>
    <w:rsid w:val="00026234"/>
    <w:rsid w:val="000879E9"/>
    <w:rsid w:val="00137C52"/>
    <w:rsid w:val="001B4E3C"/>
    <w:rsid w:val="0024536F"/>
    <w:rsid w:val="002E3F22"/>
    <w:rsid w:val="00302EA0"/>
    <w:rsid w:val="00312E9C"/>
    <w:rsid w:val="00317D12"/>
    <w:rsid w:val="00331F15"/>
    <w:rsid w:val="003E74D3"/>
    <w:rsid w:val="003F2552"/>
    <w:rsid w:val="00426072"/>
    <w:rsid w:val="00437125"/>
    <w:rsid w:val="004526EE"/>
    <w:rsid w:val="004541FC"/>
    <w:rsid w:val="004700D2"/>
    <w:rsid w:val="00471F9C"/>
    <w:rsid w:val="00495C26"/>
    <w:rsid w:val="004D4F20"/>
    <w:rsid w:val="0061426B"/>
    <w:rsid w:val="00683592"/>
    <w:rsid w:val="008D0A27"/>
    <w:rsid w:val="00930D0C"/>
    <w:rsid w:val="009A5A92"/>
    <w:rsid w:val="009B180C"/>
    <w:rsid w:val="009D029B"/>
    <w:rsid w:val="00A01409"/>
    <w:rsid w:val="00A24F91"/>
    <w:rsid w:val="00B14590"/>
    <w:rsid w:val="00B32791"/>
    <w:rsid w:val="00B52DA0"/>
    <w:rsid w:val="00B666D3"/>
    <w:rsid w:val="00BB4666"/>
    <w:rsid w:val="00CB69EF"/>
    <w:rsid w:val="00D41E6F"/>
    <w:rsid w:val="00D86E60"/>
    <w:rsid w:val="00DB11D4"/>
    <w:rsid w:val="00DE4392"/>
    <w:rsid w:val="00E5605B"/>
    <w:rsid w:val="00E83A17"/>
    <w:rsid w:val="00F72208"/>
    <w:rsid w:val="00FB0C42"/>
    <w:rsid w:val="00FD4349"/>
    <w:rsid w:val="00FE0B02"/>
    <w:rsid w:val="00FF13DA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7D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7D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1F1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1F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1F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7D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7D1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317D12"/>
    <w:rPr>
      <w:b/>
      <w:bCs/>
    </w:rPr>
  </w:style>
  <w:style w:type="character" w:customStyle="1" w:styleId="30">
    <w:name w:val="標題 3 字元"/>
    <w:basedOn w:val="a0"/>
    <w:link w:val="3"/>
    <w:uiPriority w:val="9"/>
    <w:rsid w:val="00331F1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31F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331F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331F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6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6D3"/>
    <w:rPr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FD434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D4349"/>
  </w:style>
  <w:style w:type="paragraph" w:styleId="21">
    <w:name w:val="toc 2"/>
    <w:basedOn w:val="a"/>
    <w:next w:val="a"/>
    <w:autoRedefine/>
    <w:uiPriority w:val="39"/>
    <w:unhideWhenUsed/>
    <w:rsid w:val="00FD4349"/>
    <w:pPr>
      <w:ind w:leftChars="200" w:left="480"/>
    </w:pPr>
  </w:style>
  <w:style w:type="character" w:styleId="aa">
    <w:name w:val="Hyperlink"/>
    <w:basedOn w:val="a0"/>
    <w:uiPriority w:val="99"/>
    <w:unhideWhenUsed/>
    <w:rsid w:val="00FD43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43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3F5F-F6EA-4514-80D9-8916CAE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Cmcpa13</dc:creator>
  <cp:lastModifiedBy>Asus</cp:lastModifiedBy>
  <cp:revision>19</cp:revision>
  <dcterms:created xsi:type="dcterms:W3CDTF">2020-02-11T02:38:00Z</dcterms:created>
  <dcterms:modified xsi:type="dcterms:W3CDTF">2020-05-01T10:29:00Z</dcterms:modified>
</cp:coreProperties>
</file>