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1E" w:rsidRDefault="000C7EBC" w:rsidP="00132BA9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臺北市</w:t>
      </w:r>
      <w:r w:rsidR="00CC5133">
        <w:rPr>
          <w:rFonts w:ascii="標楷體" w:eastAsia="標楷體" w:hAnsi="標楷體" w:hint="eastAsia"/>
          <w:b/>
          <w:sz w:val="32"/>
        </w:rPr>
        <w:t>老人住宅</w:t>
      </w:r>
      <w:r w:rsidR="001C4C69" w:rsidRPr="00121A55">
        <w:rPr>
          <w:rFonts w:ascii="標楷體" w:eastAsia="標楷體" w:hAnsi="標楷體" w:hint="eastAsia"/>
          <w:b/>
          <w:sz w:val="32"/>
        </w:rPr>
        <w:t>「青銀共居」</w:t>
      </w:r>
      <w:r w:rsidR="006870F8">
        <w:rPr>
          <w:rFonts w:ascii="標楷體" w:eastAsia="標楷體" w:hAnsi="標楷體" w:hint="eastAsia"/>
          <w:b/>
          <w:sz w:val="32"/>
        </w:rPr>
        <w:t>方案實施</w:t>
      </w:r>
      <w:r w:rsidR="00B343DD">
        <w:rPr>
          <w:rFonts w:ascii="標楷體" w:eastAsia="標楷體" w:hAnsi="標楷體" w:hint="eastAsia"/>
          <w:b/>
          <w:sz w:val="32"/>
        </w:rPr>
        <w:t>計畫</w:t>
      </w:r>
    </w:p>
    <w:p w:rsidR="00B36679" w:rsidRDefault="00B36679" w:rsidP="00A867B6">
      <w:pPr>
        <w:spacing w:line="400" w:lineRule="exact"/>
        <w:ind w:right="8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A867B6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106.12社會局</w:t>
      </w:r>
    </w:p>
    <w:p w:rsidR="0060317E" w:rsidRPr="00A530CE" w:rsidRDefault="00B343DD" w:rsidP="00B36679">
      <w:pPr>
        <w:spacing w:line="400" w:lineRule="exact"/>
        <w:ind w:right="1600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>壹、緣起</w:t>
      </w:r>
      <w:r w:rsidR="0060317E" w:rsidRPr="00A530CE">
        <w:rPr>
          <w:rFonts w:ascii="標楷體" w:eastAsia="標楷體" w:hAnsi="標楷體" w:hint="eastAsia"/>
          <w:sz w:val="28"/>
          <w:szCs w:val="28"/>
        </w:rPr>
        <w:t>：</w:t>
      </w:r>
    </w:p>
    <w:p w:rsidR="00AD1AC5" w:rsidRDefault="00187D96" w:rsidP="00132BA9">
      <w:pPr>
        <w:pStyle w:val="Default"/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A530CE">
        <w:rPr>
          <w:rFonts w:eastAsia="標楷體" w:hint="eastAsia"/>
          <w:sz w:val="28"/>
          <w:szCs w:val="28"/>
        </w:rPr>
        <w:t xml:space="preserve">        </w:t>
      </w:r>
      <w:r w:rsidR="000F6B82">
        <w:rPr>
          <w:rFonts w:eastAsia="標楷體" w:hint="eastAsia"/>
          <w:sz w:val="28"/>
          <w:szCs w:val="28"/>
        </w:rPr>
        <w:t xml:space="preserve"> </w:t>
      </w:r>
      <w:r w:rsidR="00AD1AC5">
        <w:rPr>
          <w:rFonts w:eastAsia="標楷體" w:hint="eastAsia"/>
          <w:sz w:val="28"/>
          <w:szCs w:val="28"/>
        </w:rPr>
        <w:t>臺北市老人人口</w:t>
      </w:r>
      <w:r w:rsidR="00951A3D" w:rsidRPr="00A530CE">
        <w:rPr>
          <w:rFonts w:eastAsia="標楷體" w:hint="eastAsia"/>
          <w:sz w:val="28"/>
          <w:szCs w:val="28"/>
        </w:rPr>
        <w:t>到2020年</w:t>
      </w:r>
      <w:r w:rsidR="00AD1AC5">
        <w:rPr>
          <w:rFonts w:eastAsia="標楷體" w:hint="eastAsia"/>
          <w:sz w:val="28"/>
          <w:szCs w:val="28"/>
        </w:rPr>
        <w:t>推估將</w:t>
      </w:r>
      <w:r w:rsidR="00951A3D" w:rsidRPr="00A530CE">
        <w:rPr>
          <w:rFonts w:eastAsia="標楷體" w:hint="eastAsia"/>
          <w:sz w:val="28"/>
          <w:szCs w:val="28"/>
        </w:rPr>
        <w:t>占全市人口20%</w:t>
      </w:r>
      <w:r w:rsidR="00AD1AC5">
        <w:rPr>
          <w:rFonts w:eastAsia="標楷體" w:hint="eastAsia"/>
          <w:sz w:val="28"/>
          <w:szCs w:val="28"/>
        </w:rPr>
        <w:t>，打造高齡友善</w:t>
      </w:r>
      <w:r w:rsidR="00951A3D" w:rsidRPr="00A530CE">
        <w:rPr>
          <w:rFonts w:eastAsia="標楷體" w:hint="eastAsia"/>
          <w:sz w:val="28"/>
          <w:szCs w:val="28"/>
        </w:rPr>
        <w:t>環境，為本市</w:t>
      </w:r>
      <w:r w:rsidR="00AD1AC5">
        <w:rPr>
          <w:rFonts w:eastAsia="標楷體" w:hint="eastAsia"/>
          <w:sz w:val="28"/>
          <w:szCs w:val="28"/>
        </w:rPr>
        <w:t>重點政策</w:t>
      </w:r>
      <w:r w:rsidR="001033E2" w:rsidRPr="00A530CE">
        <w:rPr>
          <w:rFonts w:eastAsia="標楷體" w:hint="eastAsia"/>
          <w:sz w:val="28"/>
          <w:szCs w:val="28"/>
        </w:rPr>
        <w:t>。</w:t>
      </w:r>
      <w:r w:rsidR="000F6B82" w:rsidRPr="00A530CE">
        <w:rPr>
          <w:rFonts w:eastAsia="標楷體" w:hint="eastAsia"/>
          <w:sz w:val="28"/>
          <w:szCs w:val="28"/>
        </w:rPr>
        <w:t>臺北市政府社會局自民國87年開辦第一家</w:t>
      </w:r>
      <w:r w:rsidR="000F6B82">
        <w:rPr>
          <w:rFonts w:eastAsia="標楷體" w:hint="eastAsia"/>
          <w:sz w:val="28"/>
          <w:szCs w:val="28"/>
        </w:rPr>
        <w:t>陽明老人公寓</w:t>
      </w:r>
      <w:r w:rsidR="000F6B82" w:rsidRPr="00A530CE">
        <w:rPr>
          <w:rFonts w:eastAsia="標楷體" w:hint="eastAsia"/>
          <w:sz w:val="28"/>
          <w:szCs w:val="28"/>
        </w:rPr>
        <w:t>起</w:t>
      </w:r>
      <w:r w:rsidR="000F6B82">
        <w:rPr>
          <w:rFonts w:eastAsia="標楷體" w:hint="eastAsia"/>
          <w:sz w:val="28"/>
          <w:szCs w:val="28"/>
        </w:rPr>
        <w:t>，</w:t>
      </w:r>
      <w:r w:rsidR="000F6B82" w:rsidRPr="00A530CE">
        <w:rPr>
          <w:rFonts w:eastAsia="標楷體" w:hint="eastAsia"/>
          <w:sz w:val="28"/>
          <w:szCs w:val="28"/>
        </w:rPr>
        <w:t>現</w:t>
      </w:r>
      <w:r w:rsidR="000F6B82">
        <w:rPr>
          <w:rFonts w:eastAsia="標楷體" w:hint="eastAsia"/>
          <w:sz w:val="28"/>
          <w:szCs w:val="28"/>
        </w:rPr>
        <w:t>已</w:t>
      </w:r>
      <w:r w:rsidR="000F6B82" w:rsidRPr="00A530CE">
        <w:rPr>
          <w:rFonts w:eastAsia="標楷體" w:hint="eastAsia"/>
          <w:sz w:val="28"/>
          <w:szCs w:val="28"/>
        </w:rPr>
        <w:t>有4家老人公寓</w:t>
      </w:r>
      <w:r w:rsidR="000F6B82">
        <w:rPr>
          <w:rFonts w:eastAsia="標楷體" w:hint="eastAsia"/>
          <w:sz w:val="28"/>
          <w:szCs w:val="28"/>
        </w:rPr>
        <w:t>或住宅</w:t>
      </w:r>
      <w:r w:rsidR="000F6B82" w:rsidRPr="00A530CE">
        <w:rPr>
          <w:rFonts w:eastAsia="標楷體" w:hint="eastAsia"/>
          <w:sz w:val="28"/>
          <w:szCs w:val="28"/>
        </w:rPr>
        <w:t>，共可收住376名長者</w:t>
      </w:r>
      <w:r w:rsidR="000F6B82">
        <w:rPr>
          <w:rFonts w:eastAsia="標楷體" w:hint="eastAsia"/>
          <w:sz w:val="28"/>
          <w:szCs w:val="28"/>
        </w:rPr>
        <w:t>。雖本市老人居住政策由早年設置</w:t>
      </w:r>
      <w:r w:rsidR="00AD1AC5">
        <w:rPr>
          <w:rFonts w:eastAsia="標楷體" w:hint="eastAsia"/>
          <w:sz w:val="28"/>
          <w:szCs w:val="28"/>
        </w:rPr>
        <w:t>集中式居住</w:t>
      </w:r>
      <w:r w:rsidR="000F6B82">
        <w:rPr>
          <w:rFonts w:eastAsia="標楷體" w:hint="eastAsia"/>
          <w:sz w:val="28"/>
          <w:szCs w:val="28"/>
        </w:rPr>
        <w:t>設施</w:t>
      </w:r>
      <w:r w:rsidR="00AD1AC5" w:rsidRPr="00A530CE">
        <w:rPr>
          <w:rFonts w:eastAsia="標楷體" w:hint="eastAsia"/>
          <w:sz w:val="28"/>
          <w:szCs w:val="28"/>
        </w:rPr>
        <w:t>(如老人住宅、老人安養機構)</w:t>
      </w:r>
      <w:r w:rsidR="00AD1AC5">
        <w:rPr>
          <w:rFonts w:eastAsia="標楷體" w:hint="eastAsia"/>
          <w:sz w:val="28"/>
          <w:szCs w:val="28"/>
        </w:rPr>
        <w:t>，</w:t>
      </w:r>
      <w:r w:rsidR="000F6B82">
        <w:rPr>
          <w:rFonts w:eastAsia="標楷體" w:hint="eastAsia"/>
          <w:sz w:val="28"/>
          <w:szCs w:val="28"/>
        </w:rPr>
        <w:t>近年以逐漸轉變開發在地老化之</w:t>
      </w:r>
      <w:r w:rsidR="00AD1AC5" w:rsidRPr="00A530CE">
        <w:rPr>
          <w:rFonts w:eastAsia="標楷體" w:hint="eastAsia"/>
          <w:sz w:val="28"/>
          <w:szCs w:val="28"/>
        </w:rPr>
        <w:t>社區式居住</w:t>
      </w:r>
      <w:r w:rsidR="000F6B82">
        <w:rPr>
          <w:rFonts w:eastAsia="標楷體" w:hint="eastAsia"/>
          <w:sz w:val="28"/>
          <w:szCs w:val="28"/>
        </w:rPr>
        <w:t>為主</w:t>
      </w:r>
      <w:r w:rsidR="00AD1AC5" w:rsidRPr="00A530CE">
        <w:rPr>
          <w:rFonts w:eastAsia="標楷體" w:hint="eastAsia"/>
          <w:sz w:val="28"/>
          <w:szCs w:val="28"/>
        </w:rPr>
        <w:t>(如租屋補助政策、公共住宅保障居住名額等)</w:t>
      </w:r>
      <w:r w:rsidR="000F6B82">
        <w:rPr>
          <w:rFonts w:eastAsia="標楷體" w:hint="eastAsia"/>
          <w:sz w:val="28"/>
          <w:szCs w:val="28"/>
        </w:rPr>
        <w:t>，期提供本市長者多元之安老居住選擇</w:t>
      </w:r>
      <w:r w:rsidR="00AD1AC5" w:rsidRPr="00A530CE">
        <w:rPr>
          <w:rFonts w:eastAsia="標楷體" w:hint="eastAsia"/>
          <w:sz w:val="28"/>
          <w:szCs w:val="28"/>
        </w:rPr>
        <w:t>。</w:t>
      </w:r>
    </w:p>
    <w:p w:rsidR="0073555E" w:rsidRDefault="000F6B82" w:rsidP="006B4446">
      <w:pPr>
        <w:pStyle w:val="Default"/>
        <w:spacing w:line="40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考量本局委託</w:t>
      </w:r>
      <w:r w:rsidR="001A0864" w:rsidRPr="00A530CE">
        <w:rPr>
          <w:rFonts w:eastAsia="標楷體" w:hint="eastAsia"/>
          <w:sz w:val="28"/>
          <w:szCs w:val="28"/>
        </w:rPr>
        <w:t>財團法人臺北市私立恆安老人長期照顧中心(</w:t>
      </w:r>
      <w:r w:rsidR="006B4446">
        <w:rPr>
          <w:rFonts w:eastAsia="標楷體" w:hint="eastAsia"/>
          <w:sz w:val="28"/>
          <w:szCs w:val="28"/>
        </w:rPr>
        <w:t>長期照護</w:t>
      </w:r>
      <w:r w:rsidR="001A0864" w:rsidRPr="00A530CE">
        <w:rPr>
          <w:rFonts w:eastAsia="標楷體" w:hint="eastAsia"/>
          <w:sz w:val="28"/>
          <w:szCs w:val="28"/>
        </w:rPr>
        <w:t>型</w:t>
      </w:r>
      <w:r>
        <w:rPr>
          <w:rFonts w:eastAsia="標楷體" w:hint="eastAsia"/>
          <w:sz w:val="28"/>
          <w:szCs w:val="28"/>
        </w:rPr>
        <w:t>)經營管理之臺北市陽明老人公寓，鄰近</w:t>
      </w:r>
      <w:r w:rsidR="006B4446">
        <w:rPr>
          <w:rFonts w:eastAsia="標楷體" w:hint="eastAsia"/>
          <w:sz w:val="28"/>
          <w:szCs w:val="28"/>
        </w:rPr>
        <w:t>中國</w:t>
      </w:r>
      <w:r>
        <w:rPr>
          <w:rFonts w:eastAsia="標楷體" w:hint="eastAsia"/>
          <w:sz w:val="28"/>
          <w:szCs w:val="28"/>
        </w:rPr>
        <w:t>文化大學</w:t>
      </w:r>
      <w:r w:rsidR="006B4446">
        <w:rPr>
          <w:rFonts w:eastAsia="標楷體" w:hint="eastAsia"/>
          <w:sz w:val="28"/>
          <w:szCs w:val="28"/>
        </w:rPr>
        <w:t>，近期室內重新裝潢工程完成，又參照近期國外</w:t>
      </w:r>
      <w:r w:rsidR="006B4446" w:rsidRPr="00A530CE">
        <w:rPr>
          <w:rFonts w:eastAsia="標楷體" w:hint="eastAsia"/>
          <w:sz w:val="28"/>
          <w:szCs w:val="28"/>
        </w:rPr>
        <w:t>推動「青銀共居」</w:t>
      </w:r>
      <w:r w:rsidR="006B4446">
        <w:rPr>
          <w:rFonts w:eastAsia="標楷體" w:hint="eastAsia"/>
          <w:sz w:val="28"/>
          <w:szCs w:val="28"/>
        </w:rPr>
        <w:t>模式，年輕人與長者共同居住產生</w:t>
      </w:r>
      <w:r w:rsidR="006B4446" w:rsidRPr="00A530CE">
        <w:rPr>
          <w:rFonts w:eastAsia="標楷體" w:hint="eastAsia"/>
          <w:sz w:val="28"/>
          <w:szCs w:val="28"/>
        </w:rPr>
        <w:t>密切互動，一方面可以透過年輕人志願投注相關服務及熱忱，</w:t>
      </w:r>
      <w:r w:rsidR="00FD7BAA">
        <w:rPr>
          <w:rFonts w:eastAsia="標楷體" w:hint="eastAsia"/>
          <w:sz w:val="28"/>
          <w:szCs w:val="28"/>
        </w:rPr>
        <w:t>營造世代融合</w:t>
      </w:r>
      <w:r w:rsidR="006B4446" w:rsidRPr="00A530CE">
        <w:rPr>
          <w:rFonts w:eastAsia="標楷體" w:hint="eastAsia"/>
          <w:sz w:val="28"/>
          <w:szCs w:val="28"/>
        </w:rPr>
        <w:t>社會服務</w:t>
      </w:r>
      <w:r w:rsidR="006B4446">
        <w:rPr>
          <w:rFonts w:eastAsia="標楷體" w:hint="eastAsia"/>
          <w:sz w:val="28"/>
          <w:szCs w:val="28"/>
        </w:rPr>
        <w:t>，一方面透過長者生命經驗的分享，營造成跨世代互助互惠</w:t>
      </w:r>
      <w:r w:rsidR="006B4446" w:rsidRPr="00A530CE">
        <w:rPr>
          <w:rFonts w:eastAsia="標楷體" w:hint="eastAsia"/>
          <w:sz w:val="28"/>
          <w:szCs w:val="28"/>
        </w:rPr>
        <w:t>居住氛圍</w:t>
      </w:r>
      <w:r w:rsidR="007C2E75" w:rsidRPr="00A530CE">
        <w:rPr>
          <w:rFonts w:eastAsia="標楷體" w:hint="eastAsia"/>
          <w:sz w:val="28"/>
          <w:szCs w:val="28"/>
        </w:rPr>
        <w:t>，</w:t>
      </w:r>
      <w:r w:rsidR="006B4446">
        <w:rPr>
          <w:rFonts w:eastAsia="標楷體" w:hint="eastAsia"/>
          <w:sz w:val="28"/>
          <w:szCs w:val="28"/>
        </w:rPr>
        <w:t>爰擇定</w:t>
      </w:r>
      <w:r w:rsidR="001A0864" w:rsidRPr="00A530CE">
        <w:rPr>
          <w:rFonts w:eastAsia="標楷體" w:hint="eastAsia"/>
          <w:sz w:val="28"/>
          <w:szCs w:val="28"/>
        </w:rPr>
        <w:t>作為</w:t>
      </w:r>
      <w:r w:rsidR="007C2E75" w:rsidRPr="00A530CE">
        <w:rPr>
          <w:rFonts w:eastAsia="標楷體" w:hint="eastAsia"/>
          <w:sz w:val="28"/>
          <w:szCs w:val="28"/>
        </w:rPr>
        <w:t>本方</w:t>
      </w:r>
      <w:r w:rsidR="001A0864" w:rsidRPr="00A530CE">
        <w:rPr>
          <w:rFonts w:eastAsia="標楷體" w:hint="eastAsia"/>
          <w:sz w:val="28"/>
          <w:szCs w:val="28"/>
        </w:rPr>
        <w:t>案之</w:t>
      </w:r>
      <w:r w:rsidR="006B4446">
        <w:rPr>
          <w:rFonts w:eastAsia="標楷體" w:hint="eastAsia"/>
          <w:sz w:val="28"/>
          <w:szCs w:val="28"/>
        </w:rPr>
        <w:t>試辦場所</w:t>
      </w:r>
      <w:r w:rsidR="001A0864" w:rsidRPr="00A530CE">
        <w:rPr>
          <w:rFonts w:eastAsia="標楷體" w:hint="eastAsia"/>
          <w:sz w:val="28"/>
          <w:szCs w:val="28"/>
        </w:rPr>
        <w:t>。</w:t>
      </w:r>
    </w:p>
    <w:p w:rsidR="005D3436" w:rsidRDefault="0060317E" w:rsidP="00132BA9">
      <w:pPr>
        <w:spacing w:line="40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>貳、</w:t>
      </w:r>
      <w:r w:rsidR="005D3436">
        <w:rPr>
          <w:rFonts w:ascii="標楷體" w:eastAsia="標楷體" w:hAnsi="標楷體" w:hint="eastAsia"/>
          <w:sz w:val="28"/>
          <w:szCs w:val="28"/>
        </w:rPr>
        <w:t>主辦單位：臺北市政府社會局</w:t>
      </w:r>
    </w:p>
    <w:p w:rsidR="00A867B6" w:rsidRDefault="00A867B6" w:rsidP="00132BA9">
      <w:pPr>
        <w:spacing w:line="40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協辦單位：中國文化大學</w:t>
      </w:r>
    </w:p>
    <w:p w:rsidR="0073555E" w:rsidRDefault="00132BA9" w:rsidP="00A867B6">
      <w:pPr>
        <w:spacing w:line="400" w:lineRule="exact"/>
        <w:ind w:leftChars="250" w:left="20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5D3436">
        <w:rPr>
          <w:rFonts w:ascii="標楷體" w:eastAsia="標楷體" w:hAnsi="標楷體" w:hint="eastAsia"/>
          <w:sz w:val="28"/>
          <w:szCs w:val="28"/>
        </w:rPr>
        <w:t>單位：</w:t>
      </w:r>
      <w:r w:rsidR="005D3436" w:rsidRPr="00A530CE">
        <w:rPr>
          <w:rFonts w:ascii="標楷體" w:eastAsia="標楷體" w:hAnsi="標楷體" w:hint="eastAsia"/>
          <w:sz w:val="28"/>
          <w:szCs w:val="28"/>
        </w:rPr>
        <w:t>財團法人臺北市私立恆安老人長期照顧中心(</w:t>
      </w:r>
      <w:r w:rsidR="006B4446">
        <w:rPr>
          <w:rFonts w:ascii="標楷體" w:eastAsia="標楷體" w:hAnsi="標楷體" w:hint="eastAsia"/>
          <w:sz w:val="28"/>
          <w:szCs w:val="28"/>
        </w:rPr>
        <w:t>長期照護</w:t>
      </w:r>
      <w:r w:rsidR="005D3436" w:rsidRPr="00A530CE">
        <w:rPr>
          <w:rFonts w:ascii="標楷體" w:eastAsia="標楷體" w:hAnsi="標楷體" w:hint="eastAsia"/>
          <w:sz w:val="28"/>
          <w:szCs w:val="28"/>
        </w:rPr>
        <w:t>型</w:t>
      </w:r>
      <w:r w:rsidR="005D3436">
        <w:rPr>
          <w:rFonts w:ascii="標楷體" w:eastAsia="標楷體" w:hAnsi="標楷體" w:hint="eastAsia"/>
          <w:sz w:val="28"/>
          <w:szCs w:val="28"/>
        </w:rPr>
        <w:t>)</w:t>
      </w:r>
      <w:r w:rsidR="00B36679">
        <w:rPr>
          <w:rFonts w:ascii="標楷體" w:eastAsia="標楷體" w:hAnsi="標楷體" w:hint="eastAsia"/>
          <w:sz w:val="28"/>
          <w:szCs w:val="28"/>
        </w:rPr>
        <w:t>經營管理</w:t>
      </w:r>
      <w:r w:rsidR="005D3436">
        <w:rPr>
          <w:rFonts w:ascii="標楷體" w:eastAsia="標楷體" w:hAnsi="標楷體" w:hint="eastAsia"/>
          <w:sz w:val="28"/>
          <w:szCs w:val="28"/>
        </w:rPr>
        <w:t>臺北市陽明老人公寓</w:t>
      </w:r>
    </w:p>
    <w:p w:rsidR="0073555E" w:rsidRDefault="00B36679" w:rsidP="0081414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參、辦理</w:t>
      </w:r>
      <w:r w:rsidR="00814148">
        <w:rPr>
          <w:rFonts w:ascii="標楷體" w:eastAsia="標楷體" w:hAnsi="標楷體" w:hint="eastAsia"/>
          <w:sz w:val="28"/>
          <w:szCs w:val="28"/>
        </w:rPr>
        <w:t>期間：</w:t>
      </w:r>
    </w:p>
    <w:p w:rsidR="00A867B6" w:rsidRDefault="00814148" w:rsidP="00B36679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106年12月15日至107年6月30日</w:t>
      </w:r>
      <w:r w:rsidR="00B36679">
        <w:rPr>
          <w:rFonts w:ascii="標楷體" w:eastAsia="標楷體" w:hAnsi="標楷體" w:hint="eastAsia"/>
          <w:sz w:val="28"/>
          <w:szCs w:val="28"/>
        </w:rPr>
        <w:t>止</w:t>
      </w:r>
    </w:p>
    <w:p w:rsidR="00814148" w:rsidRDefault="00B36679" w:rsidP="00B36679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(學生入住期間：107年2月至107年6月)</w:t>
      </w:r>
    </w:p>
    <w:p w:rsidR="00B36679" w:rsidRPr="0073555E" w:rsidRDefault="00814148" w:rsidP="00B3667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B36679">
        <w:rPr>
          <w:rFonts w:ascii="標楷體" w:eastAsia="標楷體" w:hAnsi="標楷體" w:hint="eastAsia"/>
          <w:sz w:val="28"/>
          <w:szCs w:val="28"/>
        </w:rPr>
        <w:t>辦理地點：臺北市陽明老人公寓(臺北市格致路7號3到6樓)</w:t>
      </w:r>
    </w:p>
    <w:p w:rsidR="005D3436" w:rsidRDefault="00B36679" w:rsidP="00132BA9">
      <w:pPr>
        <w:spacing w:line="400" w:lineRule="exact"/>
        <w:ind w:left="2534" w:hangingChars="905" w:hanging="2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5D3436">
        <w:rPr>
          <w:rFonts w:ascii="標楷體" w:eastAsia="標楷體" w:hAnsi="標楷體" w:hint="eastAsia"/>
          <w:sz w:val="28"/>
          <w:szCs w:val="28"/>
        </w:rPr>
        <w:t>、辦理方式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D3436" w:rsidRDefault="005D3436" w:rsidP="00132BA9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36679">
        <w:rPr>
          <w:rFonts w:ascii="標楷體" w:eastAsia="標楷體" w:hAnsi="標楷體" w:hint="eastAsia"/>
          <w:sz w:val="28"/>
          <w:szCs w:val="28"/>
        </w:rPr>
        <w:t>共計提供</w:t>
      </w:r>
      <w:r w:rsidRPr="00A530CE">
        <w:rPr>
          <w:rFonts w:ascii="標楷體" w:eastAsia="標楷體" w:hAnsi="標楷體" w:hint="eastAsia"/>
          <w:sz w:val="28"/>
          <w:szCs w:val="28"/>
        </w:rPr>
        <w:t>4</w:t>
      </w:r>
      <w:r w:rsidR="00B36679">
        <w:rPr>
          <w:rFonts w:ascii="標楷體" w:eastAsia="標楷體" w:hAnsi="標楷體" w:hint="eastAsia"/>
          <w:sz w:val="28"/>
          <w:szCs w:val="28"/>
        </w:rPr>
        <w:t>間</w:t>
      </w:r>
      <w:r w:rsidR="009F0166">
        <w:rPr>
          <w:rFonts w:ascii="標楷體" w:eastAsia="標楷體" w:hAnsi="標楷體" w:hint="eastAsia"/>
          <w:sz w:val="28"/>
          <w:szCs w:val="28"/>
        </w:rPr>
        <w:t>套</w:t>
      </w:r>
      <w:r w:rsidRPr="00A530CE">
        <w:rPr>
          <w:rFonts w:ascii="標楷體" w:eastAsia="標楷體" w:hAnsi="標楷體" w:hint="eastAsia"/>
          <w:sz w:val="28"/>
          <w:szCs w:val="28"/>
        </w:rPr>
        <w:t>房</w:t>
      </w:r>
      <w:r w:rsidR="00B36679">
        <w:rPr>
          <w:rFonts w:ascii="標楷體" w:eastAsia="標楷體" w:hAnsi="標楷體" w:hint="eastAsia"/>
          <w:sz w:val="28"/>
          <w:szCs w:val="28"/>
        </w:rPr>
        <w:t>，每間居住2</w:t>
      </w:r>
      <w:r w:rsidR="006B4446">
        <w:rPr>
          <w:rFonts w:ascii="標楷體" w:eastAsia="標楷體" w:hAnsi="標楷體" w:hint="eastAsia"/>
          <w:sz w:val="28"/>
          <w:szCs w:val="28"/>
        </w:rPr>
        <w:t>名</w:t>
      </w:r>
      <w:r w:rsidR="00B36679">
        <w:rPr>
          <w:rFonts w:ascii="標楷體" w:eastAsia="標楷體" w:hAnsi="標楷體" w:hint="eastAsia"/>
          <w:sz w:val="28"/>
          <w:szCs w:val="28"/>
        </w:rPr>
        <w:t>，</w:t>
      </w:r>
      <w:r w:rsidR="006B4446">
        <w:rPr>
          <w:rFonts w:ascii="標楷體" w:eastAsia="標楷體" w:hAnsi="標楷體" w:hint="eastAsia"/>
          <w:sz w:val="28"/>
          <w:szCs w:val="28"/>
        </w:rPr>
        <w:t>共計8名學生入住</w:t>
      </w:r>
      <w:r w:rsidRPr="00A530CE">
        <w:rPr>
          <w:rFonts w:ascii="標楷體" w:eastAsia="標楷體" w:hAnsi="標楷體" w:hint="eastAsia"/>
          <w:sz w:val="28"/>
          <w:szCs w:val="28"/>
        </w:rPr>
        <w:t>。</w:t>
      </w:r>
    </w:p>
    <w:p w:rsidR="00132BA9" w:rsidRDefault="005D3436" w:rsidP="00132BA9">
      <w:pPr>
        <w:spacing w:line="400" w:lineRule="exact"/>
        <w:ind w:leftChars="250" w:left="3134" w:hangingChars="905" w:hanging="25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二、入住學生資格</w:t>
      </w:r>
      <w:r w:rsidRPr="00A530CE">
        <w:rPr>
          <w:rFonts w:ascii="標楷體" w:eastAsia="標楷體" w:hAnsi="標楷體" w:hint="eastAsia"/>
          <w:sz w:val="28"/>
          <w:szCs w:val="28"/>
        </w:rPr>
        <w:t>：</w:t>
      </w:r>
    </w:p>
    <w:p w:rsidR="005D3436" w:rsidRDefault="005D3436" w:rsidP="006B4446">
      <w:pPr>
        <w:spacing w:line="400" w:lineRule="exact"/>
        <w:ind w:leftChars="472" w:left="1135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文化大學大學部二年級以上在學學生</w:t>
      </w:r>
      <w:r w:rsidR="00132BA9">
        <w:rPr>
          <w:rFonts w:ascii="標楷體" w:eastAsia="標楷體" w:hAnsi="標楷體" w:hint="eastAsia"/>
          <w:sz w:val="28"/>
          <w:szCs w:val="28"/>
        </w:rPr>
        <w:t>，</w:t>
      </w:r>
      <w:r w:rsidR="00B36679">
        <w:rPr>
          <w:rFonts w:ascii="標楷體" w:eastAsia="標楷體" w:hAnsi="標楷體" w:hint="eastAsia"/>
          <w:sz w:val="28"/>
          <w:szCs w:val="28"/>
        </w:rPr>
        <w:t>未滿20歲者</w:t>
      </w:r>
      <w:r w:rsidR="00132BA9">
        <w:rPr>
          <w:rFonts w:ascii="標楷體" w:eastAsia="標楷體" w:hAnsi="標楷體" w:hint="eastAsia"/>
          <w:sz w:val="28"/>
          <w:szCs w:val="28"/>
        </w:rPr>
        <w:t>需經家長同意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D3436" w:rsidRPr="00A530CE" w:rsidRDefault="005D3436" w:rsidP="00132BA9">
      <w:pPr>
        <w:spacing w:line="400" w:lineRule="exact"/>
        <w:ind w:leftChars="250" w:left="2434" w:hangingChars="655" w:hanging="1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3555E">
        <w:rPr>
          <w:rFonts w:ascii="標楷體" w:eastAsia="標楷體" w:hAnsi="標楷體" w:hint="eastAsia"/>
          <w:sz w:val="28"/>
          <w:szCs w:val="28"/>
        </w:rPr>
        <w:t>租金</w:t>
      </w:r>
      <w:r w:rsidRPr="00A530CE">
        <w:rPr>
          <w:rFonts w:ascii="標楷體" w:eastAsia="標楷體" w:hAnsi="標楷體" w:hint="eastAsia"/>
          <w:sz w:val="28"/>
          <w:szCs w:val="28"/>
        </w:rPr>
        <w:t>標準：</w:t>
      </w:r>
    </w:p>
    <w:p w:rsidR="005D3436" w:rsidRDefault="005D3436" w:rsidP="006B4446">
      <w:pPr>
        <w:spacing w:line="40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 xml:space="preserve">        住房費用每人每月</w:t>
      </w:r>
      <w:r w:rsidR="00B36679">
        <w:rPr>
          <w:rFonts w:ascii="標楷體" w:eastAsia="標楷體" w:hAnsi="標楷體" w:hint="eastAsia"/>
          <w:sz w:val="28"/>
          <w:szCs w:val="28"/>
        </w:rPr>
        <w:t>6</w:t>
      </w:r>
      <w:r w:rsidRPr="00A530CE">
        <w:rPr>
          <w:rFonts w:ascii="標楷體" w:eastAsia="標楷體" w:hAnsi="標楷體" w:hint="eastAsia"/>
          <w:sz w:val="28"/>
          <w:szCs w:val="28"/>
        </w:rPr>
        <w:t>,000元(電費</w:t>
      </w:r>
      <w:r w:rsidR="006B4446">
        <w:rPr>
          <w:rFonts w:ascii="新細明體" w:eastAsia="新細明體" w:hAnsi="新細明體" w:hint="eastAsia"/>
          <w:sz w:val="28"/>
          <w:szCs w:val="28"/>
        </w:rPr>
        <w:t>、</w:t>
      </w:r>
      <w:r w:rsidR="00B36679">
        <w:rPr>
          <w:rFonts w:ascii="標楷體" w:eastAsia="標楷體" w:hAnsi="標楷體" w:hint="eastAsia"/>
          <w:sz w:val="28"/>
          <w:szCs w:val="28"/>
        </w:rPr>
        <w:t>電話</w:t>
      </w:r>
      <w:r w:rsidR="006B4446">
        <w:rPr>
          <w:rFonts w:ascii="標楷體" w:eastAsia="標楷體" w:hAnsi="標楷體" w:hint="eastAsia"/>
          <w:sz w:val="28"/>
          <w:szCs w:val="28"/>
        </w:rPr>
        <w:t>及網路</w:t>
      </w:r>
      <w:r w:rsidR="00B36679">
        <w:rPr>
          <w:rFonts w:ascii="標楷體" w:eastAsia="標楷體" w:hAnsi="標楷體" w:hint="eastAsia"/>
          <w:sz w:val="28"/>
          <w:szCs w:val="28"/>
        </w:rPr>
        <w:t>費</w:t>
      </w:r>
      <w:r w:rsidRPr="00A530CE">
        <w:rPr>
          <w:rFonts w:ascii="標楷體" w:eastAsia="標楷體" w:hAnsi="標楷體" w:hint="eastAsia"/>
          <w:sz w:val="28"/>
          <w:szCs w:val="28"/>
        </w:rPr>
        <w:t>另計)</w:t>
      </w:r>
      <w:r w:rsidR="00B36679">
        <w:rPr>
          <w:rFonts w:ascii="標楷體" w:eastAsia="標楷體" w:hAnsi="標楷體" w:hint="eastAsia"/>
          <w:sz w:val="28"/>
          <w:szCs w:val="28"/>
        </w:rPr>
        <w:t>，</w:t>
      </w:r>
      <w:r w:rsidRPr="00A530CE">
        <w:rPr>
          <w:rFonts w:ascii="標楷體" w:eastAsia="標楷體" w:hAnsi="標楷體" w:hint="eastAsia"/>
          <w:sz w:val="28"/>
          <w:szCs w:val="28"/>
        </w:rPr>
        <w:t>每月須至少提供20小時服務時數，</w:t>
      </w:r>
      <w:r w:rsidR="006B4446">
        <w:rPr>
          <w:rFonts w:ascii="標楷體" w:eastAsia="標楷體" w:hAnsi="標楷體" w:hint="eastAsia"/>
          <w:sz w:val="28"/>
          <w:szCs w:val="28"/>
        </w:rPr>
        <w:t>並</w:t>
      </w:r>
      <w:r w:rsidRPr="00A530CE">
        <w:rPr>
          <w:rFonts w:ascii="標楷體" w:eastAsia="標楷體" w:hAnsi="標楷體" w:hint="eastAsia"/>
          <w:sz w:val="28"/>
          <w:szCs w:val="28"/>
        </w:rPr>
        <w:t>可折抵最多</w:t>
      </w:r>
      <w:r w:rsidR="005765E8">
        <w:rPr>
          <w:rFonts w:ascii="標楷體" w:eastAsia="標楷體" w:hAnsi="標楷體" w:hint="eastAsia"/>
          <w:sz w:val="28"/>
          <w:szCs w:val="28"/>
        </w:rPr>
        <w:t>3,0</w:t>
      </w:r>
      <w:r w:rsidRPr="00A530CE">
        <w:rPr>
          <w:rFonts w:ascii="標楷體" w:eastAsia="標楷體" w:hAnsi="標楷體" w:hint="eastAsia"/>
          <w:sz w:val="28"/>
          <w:szCs w:val="28"/>
        </w:rPr>
        <w:t>00元租金。</w:t>
      </w:r>
    </w:p>
    <w:p w:rsidR="00132BA9" w:rsidRDefault="005D3436" w:rsidP="00132BA9">
      <w:pPr>
        <w:spacing w:line="400" w:lineRule="exact"/>
        <w:ind w:left="2386" w:hangingChars="852" w:hanging="2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555E">
        <w:rPr>
          <w:rFonts w:ascii="標楷體" w:eastAsia="標楷體" w:hAnsi="標楷體" w:hint="eastAsia"/>
          <w:sz w:val="28"/>
          <w:szCs w:val="28"/>
        </w:rPr>
        <w:t>四、入住徵選方式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32BA9" w:rsidRDefault="005D3436" w:rsidP="00132BA9">
      <w:pPr>
        <w:spacing w:line="40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分兩階段辦理</w:t>
      </w:r>
      <w:r w:rsidR="00132BA9">
        <w:rPr>
          <w:rFonts w:ascii="標楷體" w:eastAsia="標楷體" w:hAnsi="標楷體" w:hint="eastAsia"/>
          <w:sz w:val="28"/>
          <w:szCs w:val="28"/>
        </w:rPr>
        <w:t>徵選，第一階段為</w:t>
      </w:r>
      <w:r w:rsidR="006B4446">
        <w:rPr>
          <w:rFonts w:ascii="標楷體" w:eastAsia="標楷體" w:hAnsi="標楷體" w:hint="eastAsia"/>
          <w:sz w:val="28"/>
          <w:szCs w:val="28"/>
        </w:rPr>
        <w:t>書面審查，</w:t>
      </w:r>
      <w:r w:rsidR="00132BA9">
        <w:rPr>
          <w:rFonts w:ascii="標楷體" w:eastAsia="標楷體" w:hAnsi="標楷體" w:hint="eastAsia"/>
          <w:sz w:val="28"/>
          <w:szCs w:val="28"/>
        </w:rPr>
        <w:t>第二階段面試，由</w:t>
      </w:r>
      <w:r w:rsidR="00C97DA4">
        <w:rPr>
          <w:rFonts w:ascii="標楷體" w:eastAsia="標楷體" w:hAnsi="標楷體" w:hint="eastAsia"/>
          <w:sz w:val="28"/>
          <w:szCs w:val="28"/>
        </w:rPr>
        <w:t>臺北市政府</w:t>
      </w:r>
      <w:r w:rsidR="00C97DA4">
        <w:rPr>
          <w:rFonts w:ascii="標楷體" w:eastAsia="標楷體" w:hAnsi="標楷體" w:hint="eastAsia"/>
          <w:sz w:val="28"/>
          <w:szCs w:val="28"/>
        </w:rPr>
        <w:t>、</w:t>
      </w:r>
      <w:r w:rsidR="00FD7BAA">
        <w:rPr>
          <w:rFonts w:ascii="標楷體" w:eastAsia="標楷體" w:hAnsi="標楷體" w:hint="eastAsia"/>
          <w:sz w:val="28"/>
          <w:szCs w:val="28"/>
        </w:rPr>
        <w:t>臺</w:t>
      </w:r>
      <w:r w:rsidR="00FD7BAA">
        <w:rPr>
          <w:rFonts w:ascii="標楷體" w:eastAsia="標楷體" w:hAnsi="標楷體" w:hint="eastAsia"/>
          <w:sz w:val="28"/>
          <w:szCs w:val="28"/>
        </w:rPr>
        <w:lastRenderedPageBreak/>
        <w:t>北市政府社會</w:t>
      </w:r>
      <w:r w:rsidR="00132BA9">
        <w:rPr>
          <w:rFonts w:ascii="標楷體" w:eastAsia="標楷體" w:hAnsi="標楷體" w:hint="eastAsia"/>
          <w:sz w:val="28"/>
          <w:szCs w:val="28"/>
        </w:rPr>
        <w:t>局、陽明老人公寓及文化大學各</w:t>
      </w:r>
      <w:r w:rsidR="006B4446">
        <w:rPr>
          <w:rFonts w:ascii="標楷體" w:eastAsia="標楷體" w:hAnsi="標楷體" w:hint="eastAsia"/>
          <w:sz w:val="28"/>
          <w:szCs w:val="28"/>
        </w:rPr>
        <w:t>指</w:t>
      </w:r>
      <w:r w:rsidR="00132BA9">
        <w:rPr>
          <w:rFonts w:ascii="標楷體" w:eastAsia="標楷體" w:hAnsi="標楷體" w:hint="eastAsia"/>
          <w:sz w:val="28"/>
          <w:szCs w:val="28"/>
        </w:rPr>
        <w:t>派一名委員以序位法評定之。詳細甄選文件</w:t>
      </w:r>
      <w:r w:rsidR="00AB6CE0">
        <w:rPr>
          <w:rFonts w:ascii="標楷體" w:eastAsia="標楷體" w:hAnsi="標楷體" w:hint="eastAsia"/>
          <w:sz w:val="28"/>
          <w:szCs w:val="28"/>
        </w:rPr>
        <w:t>詳</w:t>
      </w:r>
      <w:r w:rsidR="003B6106" w:rsidRPr="003B6106">
        <w:rPr>
          <w:rFonts w:ascii="標楷體" w:eastAsia="標楷體" w:hAnsi="標楷體" w:hint="eastAsia"/>
          <w:sz w:val="28"/>
          <w:szCs w:val="28"/>
        </w:rPr>
        <w:t>臺北市老人住宅青銀共居方案入住對象</w:t>
      </w:r>
      <w:r w:rsidR="00AB6CE0" w:rsidRPr="00AB6CE0">
        <w:rPr>
          <w:rFonts w:ascii="標楷體" w:eastAsia="標楷體" w:hAnsi="標楷體" w:hint="eastAsia"/>
          <w:sz w:val="28"/>
          <w:szCs w:val="28"/>
        </w:rPr>
        <w:t>遴選原則</w:t>
      </w:r>
      <w:r w:rsidR="00132BA9">
        <w:rPr>
          <w:rFonts w:ascii="標楷體" w:eastAsia="標楷體" w:hAnsi="標楷體" w:hint="eastAsia"/>
          <w:sz w:val="28"/>
          <w:szCs w:val="28"/>
        </w:rPr>
        <w:t>。</w:t>
      </w:r>
    </w:p>
    <w:p w:rsidR="006B4446" w:rsidRDefault="0073555E" w:rsidP="00132BA9">
      <w:pPr>
        <w:spacing w:line="400" w:lineRule="exact"/>
        <w:ind w:left="3086" w:hangingChars="1102" w:hanging="30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五、公共服務內容</w:t>
      </w:r>
      <w:r w:rsidR="00132BA9">
        <w:rPr>
          <w:rFonts w:ascii="標楷體" w:eastAsia="標楷體" w:hAnsi="標楷體" w:hint="eastAsia"/>
          <w:sz w:val="28"/>
          <w:szCs w:val="28"/>
        </w:rPr>
        <w:t>：</w:t>
      </w:r>
    </w:p>
    <w:p w:rsidR="00132BA9" w:rsidRDefault="006B4446" w:rsidP="00A867B6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陪伴</w:t>
      </w:r>
      <w:r w:rsidR="00132BA9">
        <w:rPr>
          <w:rFonts w:ascii="標楷體" w:eastAsia="標楷體" w:hAnsi="標楷體" w:hint="eastAsia"/>
          <w:sz w:val="28"/>
          <w:szCs w:val="28"/>
        </w:rPr>
        <w:t>住民及3C</w:t>
      </w:r>
      <w:r w:rsidR="006C0D7C">
        <w:rPr>
          <w:rFonts w:ascii="標楷體" w:eastAsia="標楷體" w:hAnsi="標楷體" w:hint="eastAsia"/>
          <w:sz w:val="28"/>
          <w:szCs w:val="28"/>
        </w:rPr>
        <w:t>產品使用協助，</w:t>
      </w:r>
      <w:r w:rsidR="00132BA9">
        <w:rPr>
          <w:rFonts w:ascii="標楷體" w:eastAsia="標楷體" w:hAnsi="標楷體" w:hint="eastAsia"/>
          <w:sz w:val="28"/>
          <w:szCs w:val="28"/>
        </w:rPr>
        <w:t>另配合學生專長規劃</w:t>
      </w:r>
      <w:r w:rsidR="00A867B6">
        <w:rPr>
          <w:rFonts w:ascii="標楷體" w:eastAsia="標楷體" w:hAnsi="標楷體" w:hint="eastAsia"/>
          <w:sz w:val="28"/>
          <w:szCs w:val="28"/>
        </w:rPr>
        <w:t>活動或課程</w:t>
      </w:r>
      <w:r w:rsidR="00132BA9">
        <w:rPr>
          <w:rFonts w:ascii="標楷體" w:eastAsia="標楷體" w:hAnsi="標楷體" w:hint="eastAsia"/>
          <w:sz w:val="28"/>
          <w:szCs w:val="28"/>
        </w:rPr>
        <w:t>。</w:t>
      </w:r>
    </w:p>
    <w:p w:rsidR="001A0864" w:rsidRPr="00A530CE" w:rsidRDefault="00B36679" w:rsidP="00A867B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5D3436">
        <w:rPr>
          <w:rFonts w:ascii="標楷體" w:eastAsia="標楷體" w:hAnsi="標楷體" w:hint="eastAsia"/>
          <w:sz w:val="28"/>
          <w:szCs w:val="28"/>
        </w:rPr>
        <w:t>、</w:t>
      </w:r>
      <w:r w:rsidR="001A0864" w:rsidRPr="00A530CE">
        <w:rPr>
          <w:rFonts w:ascii="標楷體" w:eastAsia="標楷體" w:hAnsi="標楷體" w:hint="eastAsia"/>
          <w:sz w:val="28"/>
          <w:szCs w:val="28"/>
        </w:rPr>
        <w:t>期程</w:t>
      </w:r>
      <w:r w:rsidR="00712A38" w:rsidRPr="00A530C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7"/>
        <w:tblpPr w:leftFromText="180" w:rightFromText="180" w:vertAnchor="text" w:horzAnchor="margin" w:tblpX="392" w:tblpY="158"/>
        <w:tblW w:w="8654" w:type="dxa"/>
        <w:tblLook w:val="04A0" w:firstRow="1" w:lastRow="0" w:firstColumn="1" w:lastColumn="0" w:noHBand="0" w:noVBand="1"/>
      </w:tblPr>
      <w:tblGrid>
        <w:gridCol w:w="2436"/>
        <w:gridCol w:w="6218"/>
      </w:tblGrid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日期</w:t>
            </w:r>
          </w:p>
        </w:tc>
        <w:tc>
          <w:tcPr>
            <w:tcW w:w="6218" w:type="dxa"/>
          </w:tcPr>
          <w:p w:rsidR="00D47426" w:rsidRPr="00A530CE" w:rsidRDefault="00A71D14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重點</w:t>
            </w:r>
            <w:bookmarkStart w:id="0" w:name="_GoBack"/>
            <w:bookmarkEnd w:id="0"/>
            <w:r w:rsidR="00D47426" w:rsidRPr="00A530CE">
              <w:rPr>
                <w:rFonts w:ascii="標楷體" w:hAnsi="標楷體" w:hint="eastAsia"/>
              </w:rPr>
              <w:t>事項</w:t>
            </w:r>
          </w:p>
        </w:tc>
      </w:tr>
      <w:tr w:rsidR="00D47426" w:rsidRPr="00A530CE" w:rsidTr="00D47426">
        <w:trPr>
          <w:trHeight w:val="625"/>
        </w:trPr>
        <w:tc>
          <w:tcPr>
            <w:tcW w:w="2436" w:type="dxa"/>
            <w:vMerge w:val="restart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106.12.18-</w:t>
            </w:r>
          </w:p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106.12.22</w:t>
            </w: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陽明老人公寓</w:t>
            </w:r>
            <w:r>
              <w:rPr>
                <w:rFonts w:ascii="標楷體" w:hAnsi="標楷體" w:hint="eastAsia"/>
              </w:rPr>
              <w:t>辦理住民</w:t>
            </w:r>
            <w:r w:rsidRPr="00A530CE">
              <w:rPr>
                <w:rFonts w:ascii="標楷體" w:hAnsi="標楷體" w:hint="eastAsia"/>
              </w:rPr>
              <w:t>說明會。</w:t>
            </w:r>
          </w:p>
        </w:tc>
      </w:tr>
      <w:tr w:rsidR="00D47426" w:rsidRPr="00A530CE" w:rsidTr="00D47426">
        <w:trPr>
          <w:trHeight w:val="700"/>
        </w:trPr>
        <w:tc>
          <w:tcPr>
            <w:tcW w:w="2436" w:type="dxa"/>
            <w:vMerge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文化大學</w:t>
            </w:r>
            <w:r>
              <w:rPr>
                <w:rFonts w:ascii="標楷體" w:hAnsi="標楷體" w:hint="eastAsia"/>
              </w:rPr>
              <w:t>辦理</w:t>
            </w:r>
            <w:r w:rsidRPr="00A530CE">
              <w:rPr>
                <w:rFonts w:ascii="標楷體" w:hAnsi="標楷體" w:hint="eastAsia"/>
              </w:rPr>
              <w:t>學生說明會。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106.12.15</w:t>
            </w:r>
            <w:r w:rsidRPr="00A530CE">
              <w:rPr>
                <w:rFonts w:ascii="標楷體" w:hAnsi="標楷體" w:hint="eastAsia"/>
              </w:rPr>
              <w:t>-</w:t>
            </w:r>
          </w:p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107.</w:t>
            </w: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6218" w:type="dxa"/>
          </w:tcPr>
          <w:p w:rsidR="00D47426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受理報名</w:t>
            </w:r>
            <w:r>
              <w:rPr>
                <w:rFonts w:ascii="標楷體" w:hAnsi="標楷體" w:hint="eastAsia"/>
              </w:rPr>
              <w:t>及文件初審</w:t>
            </w:r>
          </w:p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07.01.06</w:t>
            </w: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初審小組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 w:hint="eastAsia"/>
                <w:color w:val="FF0000"/>
              </w:rPr>
              <w:t>107.</w:t>
            </w:r>
            <w:r>
              <w:rPr>
                <w:rFonts w:ascii="標楷體" w:hAnsi="標楷體"/>
                <w:color w:val="FF0000"/>
              </w:rPr>
              <w:t>0</w:t>
            </w:r>
            <w:r>
              <w:rPr>
                <w:rFonts w:ascii="標楷體" w:hAnsi="標楷體" w:hint="eastAsia"/>
                <w:color w:val="FF0000"/>
              </w:rPr>
              <w:t>1.</w:t>
            </w:r>
            <w:r>
              <w:rPr>
                <w:rFonts w:ascii="標楷體" w:hAnsi="標楷體"/>
                <w:color w:val="FF0000"/>
              </w:rPr>
              <w:t>0</w:t>
            </w:r>
            <w:r>
              <w:rPr>
                <w:rFonts w:ascii="標楷體" w:hAnsi="標楷體" w:hint="eastAsia"/>
                <w:color w:val="FF0000"/>
              </w:rPr>
              <w:t>6</w:t>
            </w: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於</w:t>
            </w:r>
            <w:r w:rsidRPr="00CA3485">
              <w:rPr>
                <w:rFonts w:ascii="標楷體" w:hAnsi="標楷體" w:hint="eastAsia"/>
              </w:rPr>
              <w:t>社會局、陽明老人公寓及文化大學</w:t>
            </w:r>
            <w:r>
              <w:rPr>
                <w:rFonts w:ascii="標楷體" w:hAnsi="標楷體" w:hint="eastAsia"/>
              </w:rPr>
              <w:t>網站</w:t>
            </w:r>
            <w:r w:rsidRPr="00CA3485">
              <w:rPr>
                <w:rFonts w:ascii="標楷體" w:hAnsi="標楷體" w:hint="eastAsia"/>
              </w:rPr>
              <w:t>公布</w:t>
            </w:r>
            <w:r>
              <w:rPr>
                <w:rFonts w:ascii="標楷體" w:hAnsi="標楷體" w:hint="eastAsia"/>
              </w:rPr>
              <w:t>面試名單及電話電子郵件通知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107.</w:t>
            </w: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1.09</w:t>
            </w: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辦理面試(面試地點：陽明老人公寓)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107.</w:t>
            </w:r>
            <w:r>
              <w:rPr>
                <w:rFonts w:ascii="標楷體" w:hAnsi="標楷體"/>
              </w:rPr>
              <w:t>0</w:t>
            </w:r>
            <w:r>
              <w:rPr>
                <w:rFonts w:ascii="標楷體" w:hAnsi="標楷體" w:hint="eastAsia"/>
              </w:rPr>
              <w:t>1.</w:t>
            </w:r>
            <w:r w:rsidRPr="00A530C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CA3485">
              <w:rPr>
                <w:rFonts w:ascii="標楷體" w:hAnsi="標楷體" w:hint="eastAsia"/>
              </w:rPr>
              <w:t>於社會局、陽明老人公寓及中國文化大學網站公布</w:t>
            </w:r>
            <w:r>
              <w:rPr>
                <w:rFonts w:ascii="標楷體" w:hAnsi="標楷體" w:hint="eastAsia"/>
              </w:rPr>
              <w:t>錄取名單</w:t>
            </w:r>
            <w:r w:rsidRPr="00CA3485">
              <w:rPr>
                <w:rFonts w:ascii="標楷體" w:hAnsi="標楷體" w:hint="eastAsia"/>
              </w:rPr>
              <w:t>及電話電子郵件通知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107.2</w:t>
            </w:r>
          </w:p>
        </w:tc>
        <w:tc>
          <w:tcPr>
            <w:tcW w:w="6218" w:type="dxa"/>
          </w:tcPr>
          <w:p w:rsidR="00D47426" w:rsidRPr="00CA3485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受理入住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107.5.18</w:t>
            </w:r>
          </w:p>
        </w:tc>
        <w:tc>
          <w:tcPr>
            <w:tcW w:w="6218" w:type="dxa"/>
          </w:tcPr>
          <w:p w:rsidR="00D47426" w:rsidRDefault="00D47426" w:rsidP="00F104FB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辦理本方案檢討</w:t>
            </w:r>
          </w:p>
        </w:tc>
      </w:tr>
      <w:tr w:rsidR="00D47426" w:rsidRPr="00A530CE" w:rsidTr="00D47426">
        <w:trPr>
          <w:trHeight w:val="397"/>
        </w:trPr>
        <w:tc>
          <w:tcPr>
            <w:tcW w:w="2436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107.</w:t>
            </w:r>
            <w:r w:rsidRPr="00A530CE">
              <w:rPr>
                <w:rFonts w:ascii="標楷體" w:hAnsi="標楷體" w:hint="eastAsia"/>
              </w:rPr>
              <w:t>6</w:t>
            </w:r>
          </w:p>
        </w:tc>
        <w:tc>
          <w:tcPr>
            <w:tcW w:w="6218" w:type="dxa"/>
          </w:tcPr>
          <w:p w:rsidR="00D47426" w:rsidRPr="00A530CE" w:rsidRDefault="00D47426" w:rsidP="009246AA">
            <w:pPr>
              <w:spacing w:line="400" w:lineRule="exact"/>
              <w:rPr>
                <w:rFonts w:ascii="標楷體" w:hAnsi="標楷體"/>
              </w:rPr>
            </w:pPr>
            <w:r w:rsidRPr="00A530CE">
              <w:rPr>
                <w:rFonts w:ascii="標楷體" w:hAnsi="標楷體" w:hint="eastAsia"/>
              </w:rPr>
              <w:t>成果發表</w:t>
            </w:r>
          </w:p>
        </w:tc>
      </w:tr>
    </w:tbl>
    <w:p w:rsidR="009246AA" w:rsidRDefault="009246AA" w:rsidP="00132BA9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</w:p>
    <w:p w:rsidR="00BF7D59" w:rsidRDefault="00B36679" w:rsidP="00132BA9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3765D9" w:rsidRPr="00A530CE">
        <w:rPr>
          <w:rFonts w:ascii="標楷體" w:eastAsia="標楷體" w:hAnsi="標楷體" w:hint="eastAsia"/>
          <w:sz w:val="28"/>
          <w:szCs w:val="28"/>
        </w:rPr>
        <w:t>、</w:t>
      </w:r>
      <w:r w:rsidR="00981548" w:rsidRPr="00A530CE">
        <w:rPr>
          <w:rFonts w:ascii="標楷體" w:eastAsia="標楷體" w:hAnsi="標楷體" w:hint="eastAsia"/>
          <w:sz w:val="28"/>
          <w:szCs w:val="28"/>
        </w:rPr>
        <w:t>預期效益</w:t>
      </w:r>
      <w:r w:rsidR="004B1163" w:rsidRPr="00A530CE">
        <w:rPr>
          <w:rFonts w:ascii="標楷體" w:eastAsia="標楷體" w:hAnsi="標楷體" w:hint="eastAsia"/>
          <w:sz w:val="28"/>
          <w:szCs w:val="28"/>
        </w:rPr>
        <w:t>：</w:t>
      </w:r>
    </w:p>
    <w:p w:rsidR="001D0652" w:rsidRPr="00A530CE" w:rsidRDefault="001D0652" w:rsidP="00132BA9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 xml:space="preserve">     一、</w:t>
      </w:r>
      <w:r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落實</w:t>
      </w:r>
      <w:r w:rsidR="00E16A04"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青銀共居</w:t>
      </w:r>
      <w:r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住</w:t>
      </w:r>
      <w:r w:rsidR="00634FC4"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宅</w:t>
      </w:r>
      <w:r w:rsidRPr="00A530CE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政策的價值與目標</w:t>
      </w:r>
      <w:r w:rsidR="00132BA9">
        <w:rPr>
          <w:rFonts w:ascii="標楷體" w:eastAsia="標楷體" w:hAnsi="標楷體" w:hint="eastAsia"/>
          <w:color w:val="333333"/>
          <w:spacing w:val="6"/>
          <w:sz w:val="28"/>
          <w:szCs w:val="28"/>
        </w:rPr>
        <w:t>，</w:t>
      </w:r>
      <w:r w:rsidR="00132BA9" w:rsidRPr="00A530CE">
        <w:rPr>
          <w:rFonts w:ascii="標楷體" w:eastAsia="標楷體" w:hAnsi="標楷體" w:hint="eastAsia"/>
          <w:sz w:val="28"/>
          <w:szCs w:val="28"/>
        </w:rPr>
        <w:t>透過青年學子互動及關懷，減少老人住宅長者寂寞感及增加其生活重心。</w:t>
      </w:r>
    </w:p>
    <w:p w:rsidR="00A677A5" w:rsidRPr="00A530CE" w:rsidRDefault="00652DED" w:rsidP="00132BA9">
      <w:pPr>
        <w:pStyle w:val="Web"/>
        <w:spacing w:line="400" w:lineRule="exact"/>
        <w:ind w:left="1418" w:hanging="938"/>
        <w:rPr>
          <w:rFonts w:ascii="標楷體" w:eastAsia="標楷體" w:hAnsi="標楷體"/>
          <w:sz w:val="28"/>
          <w:szCs w:val="28"/>
        </w:rPr>
      </w:pPr>
      <w:r w:rsidRPr="00A530CE">
        <w:rPr>
          <w:rFonts w:ascii="標楷體" w:eastAsia="標楷體" w:hAnsi="標楷體" w:hint="eastAsia"/>
          <w:sz w:val="28"/>
          <w:szCs w:val="28"/>
        </w:rPr>
        <w:t xml:space="preserve"> </w:t>
      </w:r>
      <w:r w:rsidR="00B34833" w:rsidRPr="00A530CE">
        <w:rPr>
          <w:rFonts w:ascii="標楷體" w:eastAsia="標楷體" w:hAnsi="標楷體" w:hint="eastAsia"/>
          <w:sz w:val="28"/>
          <w:szCs w:val="28"/>
        </w:rPr>
        <w:t xml:space="preserve"> </w:t>
      </w:r>
      <w:r w:rsidR="00667914" w:rsidRPr="00A530CE">
        <w:rPr>
          <w:rFonts w:ascii="標楷體" w:eastAsia="標楷體" w:hAnsi="標楷體" w:hint="eastAsia"/>
          <w:sz w:val="28"/>
          <w:szCs w:val="28"/>
        </w:rPr>
        <w:t>二</w:t>
      </w:r>
      <w:r w:rsidR="00BD758F" w:rsidRPr="00A530CE">
        <w:rPr>
          <w:rFonts w:ascii="標楷體" w:eastAsia="標楷體" w:hAnsi="標楷體" w:hint="eastAsia"/>
          <w:sz w:val="28"/>
          <w:szCs w:val="28"/>
        </w:rPr>
        <w:t>、</w:t>
      </w:r>
      <w:r w:rsidR="00890F67" w:rsidRPr="00A530CE">
        <w:rPr>
          <w:rFonts w:ascii="標楷體" w:eastAsia="標楷體" w:hAnsi="標楷體" w:hint="eastAsia"/>
          <w:sz w:val="28"/>
          <w:szCs w:val="28"/>
        </w:rPr>
        <w:t>青年學子學習長者的智慧與生活哲學，長者也可</w:t>
      </w:r>
      <w:r w:rsidR="002E442A" w:rsidRPr="00A530CE">
        <w:rPr>
          <w:rFonts w:ascii="標楷體" w:eastAsia="標楷體" w:hAnsi="標楷體" w:hint="eastAsia"/>
          <w:sz w:val="28"/>
          <w:szCs w:val="28"/>
        </w:rPr>
        <w:t>學習到新的思維及先進的</w:t>
      </w:r>
      <w:r w:rsidR="000F558B" w:rsidRPr="00A530CE">
        <w:rPr>
          <w:rFonts w:ascii="標楷體" w:eastAsia="標楷體" w:hAnsi="標楷體" w:hint="eastAsia"/>
          <w:sz w:val="28"/>
          <w:szCs w:val="28"/>
        </w:rPr>
        <w:t>科技用品</w:t>
      </w:r>
      <w:r w:rsidR="00A530CE" w:rsidRPr="00A530CE">
        <w:rPr>
          <w:rFonts w:ascii="標楷體" w:eastAsia="標楷體" w:hAnsi="標楷體" w:hint="eastAsia"/>
          <w:sz w:val="28"/>
          <w:szCs w:val="28"/>
        </w:rPr>
        <w:t>，營造代間融合</w:t>
      </w:r>
      <w:r w:rsidR="00BC1280">
        <w:rPr>
          <w:rFonts w:ascii="標楷體" w:eastAsia="標楷體" w:hAnsi="標楷體" w:hint="eastAsia"/>
          <w:sz w:val="28"/>
          <w:szCs w:val="28"/>
        </w:rPr>
        <w:t>生活</w:t>
      </w:r>
      <w:r w:rsidR="00A530CE" w:rsidRPr="00A530CE">
        <w:rPr>
          <w:rFonts w:ascii="標楷體" w:eastAsia="標楷體" w:hAnsi="標楷體" w:hint="eastAsia"/>
          <w:sz w:val="28"/>
          <w:szCs w:val="28"/>
        </w:rPr>
        <w:t>環境。</w:t>
      </w:r>
    </w:p>
    <w:p w:rsidR="00F86634" w:rsidRPr="00A530CE" w:rsidRDefault="001D0652" w:rsidP="00EB0015">
      <w:pPr>
        <w:ind w:left="1134" w:hangingChars="405" w:hanging="1134"/>
        <w:rPr>
          <w:rFonts w:ascii="標楷體" w:eastAsia="標楷體" w:hAnsi="標楷體"/>
          <w:sz w:val="28"/>
        </w:rPr>
      </w:pPr>
      <w:r w:rsidRPr="00A530CE">
        <w:rPr>
          <w:rFonts w:ascii="標楷體" w:eastAsia="標楷體" w:hAnsi="標楷體" w:hint="eastAsia"/>
          <w:sz w:val="28"/>
        </w:rPr>
        <w:t xml:space="preserve">    </w:t>
      </w:r>
    </w:p>
    <w:sectPr w:rsidR="00F86634" w:rsidRPr="00A530CE" w:rsidSect="001C4C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16" w:rsidRDefault="00996816" w:rsidP="00CC5133">
      <w:r>
        <w:separator/>
      </w:r>
    </w:p>
  </w:endnote>
  <w:endnote w:type="continuationSeparator" w:id="0">
    <w:p w:rsidR="00996816" w:rsidRDefault="00996816" w:rsidP="00CC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16" w:rsidRDefault="00996816" w:rsidP="00CC5133">
      <w:r>
        <w:separator/>
      </w:r>
    </w:p>
  </w:footnote>
  <w:footnote w:type="continuationSeparator" w:id="0">
    <w:p w:rsidR="00996816" w:rsidRDefault="00996816" w:rsidP="00CC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6952"/>
    <w:multiLevelType w:val="multilevel"/>
    <w:tmpl w:val="6E6A508A"/>
    <w:lvl w:ilvl="0">
      <w:start w:val="1"/>
      <w:numFmt w:val="taiwaneseCountingThousand"/>
      <w:lvlText w:val="(%1)"/>
      <w:lvlJc w:val="left"/>
      <w:pPr>
        <w:ind w:left="480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027A0"/>
    <w:multiLevelType w:val="hybridMultilevel"/>
    <w:tmpl w:val="AFBC527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0A2B5E"/>
    <w:multiLevelType w:val="hybridMultilevel"/>
    <w:tmpl w:val="B0C872E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F614E542">
      <w:start w:val="1"/>
      <w:numFmt w:val="taiwaneseCountingThousand"/>
      <w:lvlText w:val="%2、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9C725A78">
      <w:start w:val="10"/>
      <w:numFmt w:val="japaneseLegal"/>
      <w:lvlText w:val="%3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7D405B07"/>
    <w:multiLevelType w:val="hybridMultilevel"/>
    <w:tmpl w:val="00C0438C"/>
    <w:lvl w:ilvl="0" w:tplc="83C6E22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69"/>
    <w:rsid w:val="00013C53"/>
    <w:rsid w:val="000231B3"/>
    <w:rsid w:val="000244B7"/>
    <w:rsid w:val="00030519"/>
    <w:rsid w:val="00050F14"/>
    <w:rsid w:val="0006052F"/>
    <w:rsid w:val="00065421"/>
    <w:rsid w:val="000816A1"/>
    <w:rsid w:val="00082CEC"/>
    <w:rsid w:val="000909AF"/>
    <w:rsid w:val="000A0F43"/>
    <w:rsid w:val="000A7F10"/>
    <w:rsid w:val="000B2750"/>
    <w:rsid w:val="000B40AE"/>
    <w:rsid w:val="000C6E72"/>
    <w:rsid w:val="000C74CE"/>
    <w:rsid w:val="000C7EBC"/>
    <w:rsid w:val="000D2C6E"/>
    <w:rsid w:val="000D4158"/>
    <w:rsid w:val="000E03DA"/>
    <w:rsid w:val="000E1013"/>
    <w:rsid w:val="000E4D0C"/>
    <w:rsid w:val="000F05F0"/>
    <w:rsid w:val="000F558B"/>
    <w:rsid w:val="000F6B82"/>
    <w:rsid w:val="000F7D2F"/>
    <w:rsid w:val="000F7F27"/>
    <w:rsid w:val="000F7FBA"/>
    <w:rsid w:val="001033E2"/>
    <w:rsid w:val="00106DE4"/>
    <w:rsid w:val="00120F72"/>
    <w:rsid w:val="00121A55"/>
    <w:rsid w:val="001277A3"/>
    <w:rsid w:val="00132BA9"/>
    <w:rsid w:val="00133E03"/>
    <w:rsid w:val="00137A69"/>
    <w:rsid w:val="0014008F"/>
    <w:rsid w:val="00140487"/>
    <w:rsid w:val="001510A9"/>
    <w:rsid w:val="001526D8"/>
    <w:rsid w:val="00155678"/>
    <w:rsid w:val="00157648"/>
    <w:rsid w:val="00157A6C"/>
    <w:rsid w:val="0016391F"/>
    <w:rsid w:val="0016546C"/>
    <w:rsid w:val="001734F1"/>
    <w:rsid w:val="00186D53"/>
    <w:rsid w:val="00187D96"/>
    <w:rsid w:val="00197A1B"/>
    <w:rsid w:val="001A0864"/>
    <w:rsid w:val="001C4C69"/>
    <w:rsid w:val="001C788D"/>
    <w:rsid w:val="001D0652"/>
    <w:rsid w:val="001D30C0"/>
    <w:rsid w:val="001D43B5"/>
    <w:rsid w:val="001E7C8A"/>
    <w:rsid w:val="001F173E"/>
    <w:rsid w:val="001F1D2E"/>
    <w:rsid w:val="001F22B5"/>
    <w:rsid w:val="00201AE4"/>
    <w:rsid w:val="00214FE0"/>
    <w:rsid w:val="002207D1"/>
    <w:rsid w:val="00221C70"/>
    <w:rsid w:val="002271C5"/>
    <w:rsid w:val="00230F6A"/>
    <w:rsid w:val="002364BF"/>
    <w:rsid w:val="00245172"/>
    <w:rsid w:val="00245E50"/>
    <w:rsid w:val="00245EA1"/>
    <w:rsid w:val="00246E34"/>
    <w:rsid w:val="00262E8D"/>
    <w:rsid w:val="002648B2"/>
    <w:rsid w:val="00267A48"/>
    <w:rsid w:val="00284BF6"/>
    <w:rsid w:val="002875E1"/>
    <w:rsid w:val="0028764E"/>
    <w:rsid w:val="00290B12"/>
    <w:rsid w:val="00293A4B"/>
    <w:rsid w:val="002972A2"/>
    <w:rsid w:val="002A6552"/>
    <w:rsid w:val="002C64C1"/>
    <w:rsid w:val="002D47C4"/>
    <w:rsid w:val="002D51A2"/>
    <w:rsid w:val="002E2747"/>
    <w:rsid w:val="002E442A"/>
    <w:rsid w:val="002E44C2"/>
    <w:rsid w:val="002F1E18"/>
    <w:rsid w:val="00302F87"/>
    <w:rsid w:val="00304574"/>
    <w:rsid w:val="00305D1F"/>
    <w:rsid w:val="0031272F"/>
    <w:rsid w:val="003128BC"/>
    <w:rsid w:val="00322445"/>
    <w:rsid w:val="00322C0F"/>
    <w:rsid w:val="0032422D"/>
    <w:rsid w:val="00327927"/>
    <w:rsid w:val="00333572"/>
    <w:rsid w:val="00342ABC"/>
    <w:rsid w:val="003544FA"/>
    <w:rsid w:val="00364008"/>
    <w:rsid w:val="00366BC7"/>
    <w:rsid w:val="00371067"/>
    <w:rsid w:val="00371BE4"/>
    <w:rsid w:val="003765D9"/>
    <w:rsid w:val="003774B0"/>
    <w:rsid w:val="00377818"/>
    <w:rsid w:val="003855D9"/>
    <w:rsid w:val="003874A5"/>
    <w:rsid w:val="00393EB6"/>
    <w:rsid w:val="003973AE"/>
    <w:rsid w:val="003A33CB"/>
    <w:rsid w:val="003A4936"/>
    <w:rsid w:val="003A7754"/>
    <w:rsid w:val="003B6106"/>
    <w:rsid w:val="003C0615"/>
    <w:rsid w:val="003C4BD7"/>
    <w:rsid w:val="003D1E9D"/>
    <w:rsid w:val="003D55E9"/>
    <w:rsid w:val="003E05CA"/>
    <w:rsid w:val="003F7040"/>
    <w:rsid w:val="0040267D"/>
    <w:rsid w:val="0041257A"/>
    <w:rsid w:val="00420997"/>
    <w:rsid w:val="00443B2F"/>
    <w:rsid w:val="00446E6E"/>
    <w:rsid w:val="00451AA6"/>
    <w:rsid w:val="00454A17"/>
    <w:rsid w:val="004709D4"/>
    <w:rsid w:val="00473E52"/>
    <w:rsid w:val="004764E8"/>
    <w:rsid w:val="00483DFC"/>
    <w:rsid w:val="00487990"/>
    <w:rsid w:val="004A3FB1"/>
    <w:rsid w:val="004A5999"/>
    <w:rsid w:val="004B1163"/>
    <w:rsid w:val="004B4E4D"/>
    <w:rsid w:val="004B7DAC"/>
    <w:rsid w:val="004C6F1E"/>
    <w:rsid w:val="004C707A"/>
    <w:rsid w:val="004C79FA"/>
    <w:rsid w:val="004D4E4C"/>
    <w:rsid w:val="004D724B"/>
    <w:rsid w:val="004F25DE"/>
    <w:rsid w:val="004F7A6F"/>
    <w:rsid w:val="0050172F"/>
    <w:rsid w:val="00513E61"/>
    <w:rsid w:val="00515322"/>
    <w:rsid w:val="00530BAC"/>
    <w:rsid w:val="00531960"/>
    <w:rsid w:val="00531AF9"/>
    <w:rsid w:val="00551625"/>
    <w:rsid w:val="0055275C"/>
    <w:rsid w:val="00555442"/>
    <w:rsid w:val="005619C4"/>
    <w:rsid w:val="00563F45"/>
    <w:rsid w:val="005658D4"/>
    <w:rsid w:val="00573187"/>
    <w:rsid w:val="005765E8"/>
    <w:rsid w:val="00577D9C"/>
    <w:rsid w:val="0058583C"/>
    <w:rsid w:val="005B2ED9"/>
    <w:rsid w:val="005C3DDF"/>
    <w:rsid w:val="005C7565"/>
    <w:rsid w:val="005D3436"/>
    <w:rsid w:val="005D5C67"/>
    <w:rsid w:val="005D6ED0"/>
    <w:rsid w:val="0060317E"/>
    <w:rsid w:val="00604791"/>
    <w:rsid w:val="0060773F"/>
    <w:rsid w:val="00611792"/>
    <w:rsid w:val="0061334A"/>
    <w:rsid w:val="006148AF"/>
    <w:rsid w:val="0062333F"/>
    <w:rsid w:val="00623373"/>
    <w:rsid w:val="006239C2"/>
    <w:rsid w:val="006261C8"/>
    <w:rsid w:val="006278D8"/>
    <w:rsid w:val="00630337"/>
    <w:rsid w:val="0063092F"/>
    <w:rsid w:val="006330F0"/>
    <w:rsid w:val="00634FC4"/>
    <w:rsid w:val="00646DC2"/>
    <w:rsid w:val="006472BE"/>
    <w:rsid w:val="006476E6"/>
    <w:rsid w:val="00652588"/>
    <w:rsid w:val="00652DED"/>
    <w:rsid w:val="00655C4F"/>
    <w:rsid w:val="00661B7C"/>
    <w:rsid w:val="0066636A"/>
    <w:rsid w:val="00667914"/>
    <w:rsid w:val="0068371A"/>
    <w:rsid w:val="00684783"/>
    <w:rsid w:val="00684A55"/>
    <w:rsid w:val="006870F8"/>
    <w:rsid w:val="0068766D"/>
    <w:rsid w:val="006A2B34"/>
    <w:rsid w:val="006A558B"/>
    <w:rsid w:val="006B39E2"/>
    <w:rsid w:val="006B4446"/>
    <w:rsid w:val="006C0D7C"/>
    <w:rsid w:val="006C30CB"/>
    <w:rsid w:val="006C4539"/>
    <w:rsid w:val="006D651A"/>
    <w:rsid w:val="006E1DB6"/>
    <w:rsid w:val="006E642F"/>
    <w:rsid w:val="006F2443"/>
    <w:rsid w:val="007010AD"/>
    <w:rsid w:val="007031AB"/>
    <w:rsid w:val="00706EC4"/>
    <w:rsid w:val="00712A38"/>
    <w:rsid w:val="00715FDD"/>
    <w:rsid w:val="00722618"/>
    <w:rsid w:val="00722FB7"/>
    <w:rsid w:val="00725DF9"/>
    <w:rsid w:val="0073555E"/>
    <w:rsid w:val="007361DE"/>
    <w:rsid w:val="00737616"/>
    <w:rsid w:val="00750AD7"/>
    <w:rsid w:val="00754202"/>
    <w:rsid w:val="007710D1"/>
    <w:rsid w:val="00771A9E"/>
    <w:rsid w:val="007803F8"/>
    <w:rsid w:val="00781F6E"/>
    <w:rsid w:val="007A3C6A"/>
    <w:rsid w:val="007B03A6"/>
    <w:rsid w:val="007B2A32"/>
    <w:rsid w:val="007B7B6B"/>
    <w:rsid w:val="007C1A42"/>
    <w:rsid w:val="007C2E75"/>
    <w:rsid w:val="007C60ED"/>
    <w:rsid w:val="007D5BB6"/>
    <w:rsid w:val="007F3CBA"/>
    <w:rsid w:val="007F5B88"/>
    <w:rsid w:val="007F72FC"/>
    <w:rsid w:val="007F7AEA"/>
    <w:rsid w:val="00800078"/>
    <w:rsid w:val="00813F35"/>
    <w:rsid w:val="00814148"/>
    <w:rsid w:val="008147C8"/>
    <w:rsid w:val="0082102B"/>
    <w:rsid w:val="008378B1"/>
    <w:rsid w:val="00840F17"/>
    <w:rsid w:val="008531A1"/>
    <w:rsid w:val="00884B98"/>
    <w:rsid w:val="00890F67"/>
    <w:rsid w:val="00892B79"/>
    <w:rsid w:val="008A1371"/>
    <w:rsid w:val="008A4504"/>
    <w:rsid w:val="008A66F9"/>
    <w:rsid w:val="008B05D8"/>
    <w:rsid w:val="008B252B"/>
    <w:rsid w:val="008C1D38"/>
    <w:rsid w:val="008D2E6D"/>
    <w:rsid w:val="008D79C3"/>
    <w:rsid w:val="008E5881"/>
    <w:rsid w:val="008E5978"/>
    <w:rsid w:val="008E7393"/>
    <w:rsid w:val="008F55D7"/>
    <w:rsid w:val="008F6914"/>
    <w:rsid w:val="00902104"/>
    <w:rsid w:val="00903B49"/>
    <w:rsid w:val="00904D66"/>
    <w:rsid w:val="00911053"/>
    <w:rsid w:val="0091173B"/>
    <w:rsid w:val="00913B86"/>
    <w:rsid w:val="00915E18"/>
    <w:rsid w:val="009246AA"/>
    <w:rsid w:val="00925742"/>
    <w:rsid w:val="00925FBE"/>
    <w:rsid w:val="00934F66"/>
    <w:rsid w:val="00936CAE"/>
    <w:rsid w:val="009372A7"/>
    <w:rsid w:val="00941A40"/>
    <w:rsid w:val="0094271A"/>
    <w:rsid w:val="00946AEA"/>
    <w:rsid w:val="00951A3D"/>
    <w:rsid w:val="00951EAA"/>
    <w:rsid w:val="009521F3"/>
    <w:rsid w:val="00957F30"/>
    <w:rsid w:val="00960C1F"/>
    <w:rsid w:val="0097209F"/>
    <w:rsid w:val="00981548"/>
    <w:rsid w:val="00983866"/>
    <w:rsid w:val="0099567C"/>
    <w:rsid w:val="00996816"/>
    <w:rsid w:val="009A1ADC"/>
    <w:rsid w:val="009B7545"/>
    <w:rsid w:val="009C42DE"/>
    <w:rsid w:val="009D23D3"/>
    <w:rsid w:val="009E1D96"/>
    <w:rsid w:val="009E7CA6"/>
    <w:rsid w:val="009F0166"/>
    <w:rsid w:val="009F1FA6"/>
    <w:rsid w:val="009F268F"/>
    <w:rsid w:val="009F3464"/>
    <w:rsid w:val="00A051EC"/>
    <w:rsid w:val="00A1072E"/>
    <w:rsid w:val="00A13A3F"/>
    <w:rsid w:val="00A143F1"/>
    <w:rsid w:val="00A22DD9"/>
    <w:rsid w:val="00A22E73"/>
    <w:rsid w:val="00A347D7"/>
    <w:rsid w:val="00A4247C"/>
    <w:rsid w:val="00A42E81"/>
    <w:rsid w:val="00A443DF"/>
    <w:rsid w:val="00A5181B"/>
    <w:rsid w:val="00A530CE"/>
    <w:rsid w:val="00A55554"/>
    <w:rsid w:val="00A677A5"/>
    <w:rsid w:val="00A70138"/>
    <w:rsid w:val="00A706A6"/>
    <w:rsid w:val="00A719B1"/>
    <w:rsid w:val="00A71D14"/>
    <w:rsid w:val="00A72D36"/>
    <w:rsid w:val="00A74862"/>
    <w:rsid w:val="00A81AF5"/>
    <w:rsid w:val="00A867B6"/>
    <w:rsid w:val="00A906BB"/>
    <w:rsid w:val="00A9441F"/>
    <w:rsid w:val="00AA7F05"/>
    <w:rsid w:val="00AB01D2"/>
    <w:rsid w:val="00AB6CE0"/>
    <w:rsid w:val="00AC6216"/>
    <w:rsid w:val="00AC659F"/>
    <w:rsid w:val="00AD1AC5"/>
    <w:rsid w:val="00AF0AEF"/>
    <w:rsid w:val="00AF19F1"/>
    <w:rsid w:val="00AF6A67"/>
    <w:rsid w:val="00B14B04"/>
    <w:rsid w:val="00B14CE1"/>
    <w:rsid w:val="00B317FD"/>
    <w:rsid w:val="00B32183"/>
    <w:rsid w:val="00B33B7A"/>
    <w:rsid w:val="00B343DD"/>
    <w:rsid w:val="00B34833"/>
    <w:rsid w:val="00B35340"/>
    <w:rsid w:val="00B36595"/>
    <w:rsid w:val="00B36679"/>
    <w:rsid w:val="00B37D97"/>
    <w:rsid w:val="00B45464"/>
    <w:rsid w:val="00B50A9E"/>
    <w:rsid w:val="00B620C2"/>
    <w:rsid w:val="00B63F01"/>
    <w:rsid w:val="00B66488"/>
    <w:rsid w:val="00B8323E"/>
    <w:rsid w:val="00B846E7"/>
    <w:rsid w:val="00B84880"/>
    <w:rsid w:val="00B93200"/>
    <w:rsid w:val="00B94780"/>
    <w:rsid w:val="00BA6429"/>
    <w:rsid w:val="00BA65F3"/>
    <w:rsid w:val="00BB3152"/>
    <w:rsid w:val="00BC1280"/>
    <w:rsid w:val="00BD0744"/>
    <w:rsid w:val="00BD4749"/>
    <w:rsid w:val="00BD758F"/>
    <w:rsid w:val="00BF1C80"/>
    <w:rsid w:val="00BF1DDF"/>
    <w:rsid w:val="00BF5FA5"/>
    <w:rsid w:val="00BF7D59"/>
    <w:rsid w:val="00C17033"/>
    <w:rsid w:val="00C3259D"/>
    <w:rsid w:val="00C344A4"/>
    <w:rsid w:val="00C369E3"/>
    <w:rsid w:val="00C42B08"/>
    <w:rsid w:val="00C44ACE"/>
    <w:rsid w:val="00C46E57"/>
    <w:rsid w:val="00C643AE"/>
    <w:rsid w:val="00C653C3"/>
    <w:rsid w:val="00C910F6"/>
    <w:rsid w:val="00C93E90"/>
    <w:rsid w:val="00C950B1"/>
    <w:rsid w:val="00C9625E"/>
    <w:rsid w:val="00C971A0"/>
    <w:rsid w:val="00C97CEA"/>
    <w:rsid w:val="00C97DA4"/>
    <w:rsid w:val="00CA0D79"/>
    <w:rsid w:val="00CA3485"/>
    <w:rsid w:val="00CC5133"/>
    <w:rsid w:val="00CF1288"/>
    <w:rsid w:val="00CF297E"/>
    <w:rsid w:val="00CF4C63"/>
    <w:rsid w:val="00D00836"/>
    <w:rsid w:val="00D01E70"/>
    <w:rsid w:val="00D067E4"/>
    <w:rsid w:val="00D15750"/>
    <w:rsid w:val="00D16141"/>
    <w:rsid w:val="00D23F90"/>
    <w:rsid w:val="00D2465D"/>
    <w:rsid w:val="00D37F13"/>
    <w:rsid w:val="00D416F7"/>
    <w:rsid w:val="00D47426"/>
    <w:rsid w:val="00D72532"/>
    <w:rsid w:val="00D75399"/>
    <w:rsid w:val="00D77E1E"/>
    <w:rsid w:val="00D84929"/>
    <w:rsid w:val="00DA0CA9"/>
    <w:rsid w:val="00DA10FE"/>
    <w:rsid w:val="00DA48A5"/>
    <w:rsid w:val="00DA59E7"/>
    <w:rsid w:val="00DA5EEE"/>
    <w:rsid w:val="00DB19E6"/>
    <w:rsid w:val="00DB2B6A"/>
    <w:rsid w:val="00DB5A82"/>
    <w:rsid w:val="00DB6CAF"/>
    <w:rsid w:val="00DE048A"/>
    <w:rsid w:val="00DE04D7"/>
    <w:rsid w:val="00DE5C37"/>
    <w:rsid w:val="00DE73B0"/>
    <w:rsid w:val="00DF7A1A"/>
    <w:rsid w:val="00E0070F"/>
    <w:rsid w:val="00E0571D"/>
    <w:rsid w:val="00E06DC8"/>
    <w:rsid w:val="00E07FD2"/>
    <w:rsid w:val="00E15847"/>
    <w:rsid w:val="00E16A04"/>
    <w:rsid w:val="00E17195"/>
    <w:rsid w:val="00E20265"/>
    <w:rsid w:val="00E2657B"/>
    <w:rsid w:val="00E32A36"/>
    <w:rsid w:val="00E45181"/>
    <w:rsid w:val="00E47415"/>
    <w:rsid w:val="00E47AAB"/>
    <w:rsid w:val="00E47E96"/>
    <w:rsid w:val="00E51968"/>
    <w:rsid w:val="00E60FA0"/>
    <w:rsid w:val="00E630C7"/>
    <w:rsid w:val="00E77720"/>
    <w:rsid w:val="00E862BD"/>
    <w:rsid w:val="00E958DD"/>
    <w:rsid w:val="00E96721"/>
    <w:rsid w:val="00EB0015"/>
    <w:rsid w:val="00EC0203"/>
    <w:rsid w:val="00EC3131"/>
    <w:rsid w:val="00ED1E08"/>
    <w:rsid w:val="00EF394C"/>
    <w:rsid w:val="00EF643F"/>
    <w:rsid w:val="00EF68E6"/>
    <w:rsid w:val="00F104FB"/>
    <w:rsid w:val="00F131FB"/>
    <w:rsid w:val="00F27545"/>
    <w:rsid w:val="00F31039"/>
    <w:rsid w:val="00F31803"/>
    <w:rsid w:val="00F32AE4"/>
    <w:rsid w:val="00F40E07"/>
    <w:rsid w:val="00F5168E"/>
    <w:rsid w:val="00F519DE"/>
    <w:rsid w:val="00F60750"/>
    <w:rsid w:val="00F657F7"/>
    <w:rsid w:val="00F81840"/>
    <w:rsid w:val="00F865B2"/>
    <w:rsid w:val="00F86634"/>
    <w:rsid w:val="00F87183"/>
    <w:rsid w:val="00FB0290"/>
    <w:rsid w:val="00FC18F9"/>
    <w:rsid w:val="00FD1EEF"/>
    <w:rsid w:val="00FD2BBB"/>
    <w:rsid w:val="00FD2F79"/>
    <w:rsid w:val="00FD53CC"/>
    <w:rsid w:val="00FD7BAA"/>
    <w:rsid w:val="00FE3211"/>
    <w:rsid w:val="00FE609B"/>
    <w:rsid w:val="00FE6443"/>
    <w:rsid w:val="00FE6593"/>
    <w:rsid w:val="00FF1294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896F1"/>
  <w15:docId w15:val="{6DEE4D2D-9BCC-44A1-8A17-3822B28E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3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C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42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B353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B35340"/>
    <w:rPr>
      <w:b/>
      <w:bCs/>
    </w:rPr>
  </w:style>
  <w:style w:type="paragraph" w:customStyle="1" w:styleId="Default">
    <w:name w:val="Default"/>
    <w:rsid w:val="004B4E4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7F72FC"/>
    <w:rPr>
      <w:rFonts w:eastAsia="標楷體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513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5133"/>
    <w:rPr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B3667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3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306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9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5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7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1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A8E9-D9F1-4445-B9F2-36E5C2F4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chaoju</dc:creator>
  <cp:lastModifiedBy>user</cp:lastModifiedBy>
  <cp:revision>4</cp:revision>
  <cp:lastPrinted>2017-11-09T03:38:00Z</cp:lastPrinted>
  <dcterms:created xsi:type="dcterms:W3CDTF">2017-12-20T01:32:00Z</dcterms:created>
  <dcterms:modified xsi:type="dcterms:W3CDTF">2017-12-20T01:35:00Z</dcterms:modified>
</cp:coreProperties>
</file>