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4CCF"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Bei-Shi 12-02-4006</w:t>
      </w:r>
    </w:p>
    <w:p w14:paraId="4FDA8C0C"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Taipei City Regulations for Encouragement of Reporting Violation of Waste Disposal</w:t>
      </w:r>
    </w:p>
    <w:p w14:paraId="0E3B82F3" w14:textId="77777777" w:rsidR="00C73B6F" w:rsidRPr="0081517D" w:rsidRDefault="00C73B6F" w:rsidP="00C73B6F">
      <w:pPr>
        <w:rPr>
          <w:rFonts w:ascii="Times New Roman" w:hAnsi="Times New Roman" w:cs="Times New Roman"/>
        </w:rPr>
      </w:pPr>
    </w:p>
    <w:p w14:paraId="1C1B6EE9"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Enacted and promulgated as per Taipei City Government Order (91) Fu-Fa-</w:t>
      </w:r>
      <w:r w:rsidR="000157CA">
        <w:rPr>
          <w:rFonts w:ascii="Times New Roman" w:hAnsi="Times New Roman" w:cs="Times New Roman"/>
        </w:rPr>
        <w:t>San-</w:t>
      </w:r>
      <w:r w:rsidRPr="0081517D">
        <w:rPr>
          <w:rFonts w:ascii="Times New Roman" w:hAnsi="Times New Roman" w:cs="Times New Roman"/>
        </w:rPr>
        <w:t>Zi No. 09108107100 on October 8, 2002.</w:t>
      </w:r>
    </w:p>
    <w:p w14:paraId="637A90D2"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Amended and promulgated Article 5 as per Taipei City Government Order (96) Fu-Fa-</w:t>
      </w:r>
      <w:r w:rsidR="000157CA" w:rsidRPr="000157CA">
        <w:rPr>
          <w:rFonts w:ascii="Times New Roman" w:hAnsi="Times New Roman" w:cs="Times New Roman"/>
        </w:rPr>
        <w:t xml:space="preserve"> </w:t>
      </w:r>
      <w:r w:rsidR="000157CA">
        <w:rPr>
          <w:rFonts w:ascii="Times New Roman" w:hAnsi="Times New Roman" w:cs="Times New Roman"/>
        </w:rPr>
        <w:t>San-</w:t>
      </w:r>
      <w:r w:rsidRPr="0081517D">
        <w:rPr>
          <w:rFonts w:ascii="Times New Roman" w:hAnsi="Times New Roman" w:cs="Times New Roman"/>
        </w:rPr>
        <w:t>Zi No. 09630775700 on May 1, 2007.</w:t>
      </w:r>
    </w:p>
    <w:p w14:paraId="7012C09F"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Amended and promulgated Article 5 as per Taipei City Government Order (96) Fu-Fa-</w:t>
      </w:r>
      <w:r w:rsidR="000157CA" w:rsidRPr="000157CA">
        <w:rPr>
          <w:rFonts w:ascii="Times New Roman" w:hAnsi="Times New Roman" w:cs="Times New Roman"/>
        </w:rPr>
        <w:t xml:space="preserve"> </w:t>
      </w:r>
      <w:r w:rsidR="000157CA">
        <w:rPr>
          <w:rFonts w:ascii="Times New Roman" w:hAnsi="Times New Roman" w:cs="Times New Roman"/>
        </w:rPr>
        <w:t>San-</w:t>
      </w:r>
      <w:r w:rsidRPr="0081517D">
        <w:rPr>
          <w:rFonts w:ascii="Times New Roman" w:hAnsi="Times New Roman" w:cs="Times New Roman"/>
        </w:rPr>
        <w:t>Zi No. 09632795100 on December 24, 2007.</w:t>
      </w:r>
    </w:p>
    <w:p w14:paraId="1A748907"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Amended Article 5 as per Taipei City Government Order (97) Fu-Fa-</w:t>
      </w:r>
      <w:r w:rsidR="000157CA" w:rsidRPr="000157CA">
        <w:rPr>
          <w:rFonts w:ascii="Times New Roman" w:hAnsi="Times New Roman" w:cs="Times New Roman"/>
        </w:rPr>
        <w:t xml:space="preserve"> </w:t>
      </w:r>
      <w:r w:rsidR="000157CA">
        <w:rPr>
          <w:rFonts w:ascii="Times New Roman" w:hAnsi="Times New Roman" w:cs="Times New Roman"/>
        </w:rPr>
        <w:t>San-</w:t>
      </w:r>
      <w:r w:rsidRPr="0081517D">
        <w:rPr>
          <w:rFonts w:ascii="Times New Roman" w:hAnsi="Times New Roman" w:cs="Times New Roman"/>
        </w:rPr>
        <w:t>Zi No. 09731819400 on July 22, 2008.</w:t>
      </w:r>
    </w:p>
    <w:p w14:paraId="03B98F5D" w14:textId="77777777" w:rsidR="00C73B6F" w:rsidRPr="0081517D" w:rsidRDefault="00C73B6F" w:rsidP="00C73B6F">
      <w:pPr>
        <w:rPr>
          <w:rFonts w:ascii="Times New Roman" w:hAnsi="Times New Roman" w:cs="Times New Roman"/>
        </w:rPr>
      </w:pPr>
      <w:r w:rsidRPr="0081517D">
        <w:rPr>
          <w:rFonts w:ascii="Times New Roman" w:hAnsi="Times New Roman" w:cs="Times New Roman"/>
        </w:rPr>
        <w:t>Amended as per Taipei City Government Order (98) Fu-Fa-</w:t>
      </w:r>
      <w:r w:rsidR="000157CA" w:rsidRPr="000157CA">
        <w:rPr>
          <w:rFonts w:ascii="Times New Roman" w:hAnsi="Times New Roman" w:cs="Times New Roman"/>
        </w:rPr>
        <w:t xml:space="preserve"> </w:t>
      </w:r>
      <w:r w:rsidR="000157CA">
        <w:rPr>
          <w:rFonts w:ascii="Times New Roman" w:hAnsi="Times New Roman" w:cs="Times New Roman"/>
        </w:rPr>
        <w:t>San-</w:t>
      </w:r>
      <w:r w:rsidRPr="0081517D">
        <w:rPr>
          <w:rFonts w:ascii="Times New Roman" w:hAnsi="Times New Roman" w:cs="Times New Roman"/>
        </w:rPr>
        <w:t>Zi No. 09834696700 on June 12, 2009.</w:t>
      </w:r>
    </w:p>
    <w:p w14:paraId="00BD90A5" w14:textId="21973381" w:rsidR="00C73B6F" w:rsidRPr="0081517D" w:rsidRDefault="00C73B6F" w:rsidP="00C73B6F">
      <w:pPr>
        <w:rPr>
          <w:rFonts w:ascii="Times New Roman" w:hAnsi="Times New Roman" w:cs="Times New Roman"/>
        </w:rPr>
      </w:pPr>
      <w:r w:rsidRPr="0081517D">
        <w:rPr>
          <w:rFonts w:ascii="Times New Roman" w:hAnsi="Times New Roman" w:cs="Times New Roman"/>
        </w:rPr>
        <w:t xml:space="preserve">Amended and promulgated all eight </w:t>
      </w:r>
      <w:r w:rsidR="00071435">
        <w:rPr>
          <w:rFonts w:ascii="Times New Roman" w:hAnsi="Times New Roman" w:cs="Times New Roman"/>
        </w:rPr>
        <w:t>articles</w:t>
      </w:r>
      <w:r w:rsidR="00071435" w:rsidRPr="0081517D">
        <w:rPr>
          <w:rFonts w:ascii="Times New Roman" w:hAnsi="Times New Roman" w:cs="Times New Roman"/>
        </w:rPr>
        <w:t xml:space="preserve"> </w:t>
      </w:r>
      <w:r w:rsidRPr="0081517D">
        <w:rPr>
          <w:rFonts w:ascii="Times New Roman" w:hAnsi="Times New Roman" w:cs="Times New Roman"/>
        </w:rPr>
        <w:t>as per Taipei City Government Order (102) Fu-Fa-Zhong-Zi No. 10233463200 on October 31, 2013.</w:t>
      </w:r>
    </w:p>
    <w:p w14:paraId="0362C3B7" w14:textId="77777777" w:rsidR="00C73B6F" w:rsidRPr="0081517D" w:rsidRDefault="00C73B6F" w:rsidP="001A3267">
      <w:pPr>
        <w:rPr>
          <w:rFonts w:ascii="Times New Roman" w:hAnsi="Times New Roman" w:cs="Times New Roman"/>
        </w:rPr>
      </w:pPr>
      <w:r w:rsidRPr="0081517D">
        <w:rPr>
          <w:rFonts w:ascii="Times New Roman" w:hAnsi="Times New Roman" w:cs="Times New Roman"/>
        </w:rPr>
        <w:t>Amended and promulgated Articles 2-5 as per Taipei City Government Order (105) Fu-Fa-Zhong-Zi No. 10532933100 on August 5, 2016.</w:t>
      </w:r>
    </w:p>
    <w:p w14:paraId="7EFAF8AD" w14:textId="4FE85C92" w:rsidR="00C73B6F" w:rsidRPr="0081517D" w:rsidRDefault="00C73B6F" w:rsidP="00C73B6F">
      <w:pPr>
        <w:rPr>
          <w:rFonts w:ascii="Times New Roman" w:hAnsi="Times New Roman" w:cs="Times New Roman"/>
        </w:rPr>
      </w:pPr>
      <w:r w:rsidRPr="0081517D">
        <w:rPr>
          <w:rFonts w:ascii="Times New Roman" w:hAnsi="Times New Roman" w:cs="Times New Roman"/>
        </w:rPr>
        <w:t>Amended and promulgated Article</w:t>
      </w:r>
      <w:r w:rsidR="00283CFF">
        <w:rPr>
          <w:rFonts w:ascii="Times New Roman" w:hAnsi="Times New Roman" w:cs="Times New Roman"/>
        </w:rPr>
        <w:t>s</w:t>
      </w:r>
      <w:r w:rsidRPr="0081517D">
        <w:rPr>
          <w:rFonts w:ascii="Times New Roman" w:hAnsi="Times New Roman" w:cs="Times New Roman"/>
        </w:rPr>
        <w:t xml:space="preserve"> 3</w:t>
      </w:r>
      <w:r w:rsidR="00283CFF">
        <w:rPr>
          <w:rFonts w:ascii="Times New Roman" w:hAnsi="Times New Roman" w:cs="Times New Roman"/>
        </w:rPr>
        <w:t>, 5, and 7</w:t>
      </w:r>
      <w:r w:rsidRPr="0081517D">
        <w:rPr>
          <w:rFonts w:ascii="Times New Roman" w:hAnsi="Times New Roman" w:cs="Times New Roman"/>
        </w:rPr>
        <w:t xml:space="preserve"> as per Taipei City Government Order (109) Fu-Fa-Zhong-Zi No. 1093046638 on October 7, 2020.</w:t>
      </w:r>
    </w:p>
    <w:p w14:paraId="7D230F32" w14:textId="77777777" w:rsidR="00C73B6F" w:rsidRPr="0081517D" w:rsidRDefault="00C73B6F" w:rsidP="00C73B6F">
      <w:pPr>
        <w:rPr>
          <w:rFonts w:ascii="Times New Roman" w:hAnsi="Times New Roman" w:cs="Times New Roman"/>
        </w:rPr>
      </w:pPr>
    </w:p>
    <w:p w14:paraId="450AE5FA" w14:textId="7D894535"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1</w:t>
      </w:r>
      <w:r w:rsidRPr="0081517D">
        <w:rPr>
          <w:rFonts w:ascii="Times New Roman" w:hAnsi="Times New Roman" w:cs="Times New Roman"/>
        </w:rPr>
        <w:tab/>
        <w:t>These Regulations are established as per Article 67, paragraph 3 of the Waste Disposal Act (hereinafter called the “Act”).</w:t>
      </w:r>
    </w:p>
    <w:p w14:paraId="4E25888D" w14:textId="52706649"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2</w:t>
      </w:r>
      <w:r w:rsidRPr="0081517D">
        <w:rPr>
          <w:rFonts w:ascii="Times New Roman" w:hAnsi="Times New Roman" w:cs="Times New Roman"/>
        </w:rPr>
        <w:tab/>
        <w:t>The Department of Environmental Protection (hereinafter called the “DEP”) of the Taipei City Government shall be the competent authority of these Regulations. The DEP may commission the Environmental In</w:t>
      </w:r>
      <w:r w:rsidR="009E7FAC">
        <w:rPr>
          <w:rFonts w:ascii="Times New Roman" w:hAnsi="Times New Roman" w:cs="Times New Roman"/>
        </w:rPr>
        <w:t>spec</w:t>
      </w:r>
      <w:r w:rsidRPr="0081517D">
        <w:rPr>
          <w:rFonts w:ascii="Times New Roman" w:hAnsi="Times New Roman" w:cs="Times New Roman"/>
        </w:rPr>
        <w:t>tion Division (hereinafter called the “EID”) of the DEP to implement these Regulations.</w:t>
      </w:r>
    </w:p>
    <w:p w14:paraId="10F4762C" w14:textId="6FB9C586"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3</w:t>
      </w:r>
      <w:r w:rsidRPr="0081517D">
        <w:rPr>
          <w:rFonts w:ascii="Times New Roman" w:hAnsi="Times New Roman" w:cs="Times New Roman"/>
        </w:rPr>
        <w:tab/>
        <w:t>After detecting violations of the Act in Taipei City, citizens can state the facts and submit relevant evidence by correspondence or email to the DEP or EID.</w:t>
      </w:r>
    </w:p>
    <w:p w14:paraId="0D662D82" w14:textId="77777777" w:rsidR="00C73B6F" w:rsidRPr="0081517D" w:rsidRDefault="00C73B6F" w:rsidP="001A3267">
      <w:pPr>
        <w:ind w:left="1418"/>
        <w:rPr>
          <w:rFonts w:ascii="Times New Roman" w:hAnsi="Times New Roman" w:cs="Times New Roman"/>
        </w:rPr>
      </w:pPr>
      <w:r w:rsidRPr="0081517D">
        <w:rPr>
          <w:rFonts w:ascii="Times New Roman" w:hAnsi="Times New Roman" w:cs="Times New Roman"/>
        </w:rPr>
        <w:t xml:space="preserve">No reward will be granted to an informant under any one of the following circumstances: </w:t>
      </w:r>
    </w:p>
    <w:p w14:paraId="23EC9E8F" w14:textId="44DB9805"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1.</w:t>
      </w:r>
      <w:r w:rsidRPr="0081517D">
        <w:rPr>
          <w:rFonts w:ascii="Times New Roman" w:hAnsi="Times New Roman" w:cs="Times New Roman"/>
        </w:rPr>
        <w:tab/>
        <w:t xml:space="preserve">Reports filed in anonymity or a pseudo name. </w:t>
      </w:r>
    </w:p>
    <w:p w14:paraId="478B8E9E" w14:textId="3763D8D9"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2.</w:t>
      </w:r>
      <w:r w:rsidRPr="0081517D">
        <w:rPr>
          <w:rFonts w:ascii="Times New Roman" w:hAnsi="Times New Roman" w:cs="Times New Roman"/>
        </w:rPr>
        <w:tab/>
        <w:t>The informant is a staff member of the DEP or related units.</w:t>
      </w:r>
    </w:p>
    <w:p w14:paraId="4FEB25DB" w14:textId="0C82DF4B"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3.</w:t>
      </w:r>
      <w:r w:rsidRPr="0081517D">
        <w:rPr>
          <w:rFonts w:ascii="Times New Roman" w:hAnsi="Times New Roman" w:cs="Times New Roman"/>
        </w:rPr>
        <w:tab/>
        <w:t>Reports without facts or solid evidence.</w:t>
      </w:r>
    </w:p>
    <w:p w14:paraId="0B180FF7" w14:textId="13BCE749"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4.</w:t>
      </w:r>
      <w:r w:rsidRPr="0081517D">
        <w:rPr>
          <w:rFonts w:ascii="Times New Roman" w:hAnsi="Times New Roman" w:cs="Times New Roman"/>
        </w:rPr>
        <w:tab/>
        <w:t>Failure to file a report within 7 days after the detection of violation.</w:t>
      </w:r>
    </w:p>
    <w:p w14:paraId="35291C32" w14:textId="5101A759"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5.</w:t>
      </w:r>
      <w:r w:rsidRPr="0081517D">
        <w:rPr>
          <w:rFonts w:ascii="Times New Roman" w:hAnsi="Times New Roman" w:cs="Times New Roman"/>
        </w:rPr>
        <w:tab/>
        <w:t>Failure to file a report with a true contact phone number, address, or in the report format specified by the DEP, and failure to make corrections by the time-limit notified by the DEP or EID.</w:t>
      </w:r>
    </w:p>
    <w:p w14:paraId="052B7D1D" w14:textId="477DD447" w:rsidR="00C73B6F" w:rsidRPr="0081517D" w:rsidRDefault="00C73B6F" w:rsidP="001A3267">
      <w:pPr>
        <w:ind w:left="1900" w:hanging="482"/>
        <w:rPr>
          <w:rFonts w:ascii="Times New Roman" w:hAnsi="Times New Roman" w:cs="Times New Roman"/>
        </w:rPr>
      </w:pPr>
      <w:r w:rsidRPr="0081517D">
        <w:rPr>
          <w:rFonts w:ascii="Times New Roman" w:hAnsi="Times New Roman" w:cs="Times New Roman"/>
        </w:rPr>
        <w:t>6.</w:t>
      </w:r>
      <w:r w:rsidRPr="0081517D">
        <w:rPr>
          <w:rFonts w:ascii="Times New Roman" w:hAnsi="Times New Roman" w:cs="Times New Roman"/>
        </w:rPr>
        <w:tab/>
        <w:t>The report of a same offence by the same informant who has collected the reward.</w:t>
      </w:r>
    </w:p>
    <w:p w14:paraId="706B77EE" w14:textId="77777777" w:rsidR="00C73B6F" w:rsidRPr="0081517D" w:rsidRDefault="00C73B6F" w:rsidP="0081517D">
      <w:pPr>
        <w:ind w:left="1418"/>
        <w:rPr>
          <w:rFonts w:ascii="Times New Roman" w:hAnsi="Times New Roman" w:cs="Times New Roman"/>
        </w:rPr>
      </w:pPr>
      <w:r w:rsidRPr="0081517D">
        <w:rPr>
          <w:rFonts w:ascii="Times New Roman" w:hAnsi="Times New Roman" w:cs="Times New Roman"/>
        </w:rPr>
        <w:t xml:space="preserve">The DEP or EID shall send a reply to the informant in writing to state the rationale </w:t>
      </w:r>
      <w:r w:rsidRPr="0081517D">
        <w:rPr>
          <w:rFonts w:ascii="Times New Roman" w:hAnsi="Times New Roman" w:cs="Times New Roman"/>
        </w:rPr>
        <w:lastRenderedPageBreak/>
        <w:t>and legal bases for the above circumstances, except in the event of subparagraph 1 above or the informant states the waiver of a reply.</w:t>
      </w:r>
    </w:p>
    <w:p w14:paraId="65E4E0B7" w14:textId="77777777" w:rsidR="00C73B6F" w:rsidRPr="0081517D" w:rsidRDefault="00C73B6F" w:rsidP="001A3267">
      <w:pPr>
        <w:ind w:left="1418"/>
        <w:rPr>
          <w:rFonts w:ascii="Times New Roman" w:hAnsi="Times New Roman" w:cs="Times New Roman"/>
        </w:rPr>
      </w:pPr>
      <w:r w:rsidRPr="0081517D">
        <w:rPr>
          <w:rFonts w:ascii="Times New Roman" w:hAnsi="Times New Roman" w:cs="Times New Roman"/>
        </w:rPr>
        <w:t>The solid evidence stated in paragraphs 1 and 2 refers to the photos, videos, or other information valid for indicating the act, fact, time, and location of violation.</w:t>
      </w:r>
    </w:p>
    <w:p w14:paraId="188DC50B" w14:textId="4145848E" w:rsidR="00C73B6F" w:rsidRPr="0081517D" w:rsidRDefault="00C73B6F" w:rsidP="0081517D">
      <w:pPr>
        <w:ind w:left="1418" w:hanging="1418"/>
        <w:rPr>
          <w:rFonts w:ascii="Times New Roman" w:hAnsi="Times New Roman" w:cs="Times New Roman"/>
        </w:rPr>
      </w:pPr>
      <w:r w:rsidRPr="0081517D">
        <w:rPr>
          <w:rFonts w:ascii="Times New Roman" w:hAnsi="Times New Roman" w:cs="Times New Roman"/>
        </w:rPr>
        <w:t>Article 4</w:t>
      </w:r>
      <w:r w:rsidRPr="0081517D">
        <w:rPr>
          <w:rFonts w:ascii="Times New Roman" w:hAnsi="Times New Roman" w:cs="Times New Roman"/>
        </w:rPr>
        <w:tab/>
        <w:t>The reward policy under these Regulations does not apply to a citizen’s report on violation of the Act that has been under the investigation of the DEP or EID with confirmed facts or violators, except for cases under investigation confirmed by the evidence or data provided by an informant.</w:t>
      </w:r>
    </w:p>
    <w:p w14:paraId="11CCF471" w14:textId="22FB107B"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5</w:t>
      </w:r>
      <w:r w:rsidRPr="0081517D">
        <w:rPr>
          <w:rFonts w:ascii="Times New Roman" w:hAnsi="Times New Roman" w:cs="Times New Roman"/>
        </w:rPr>
        <w:tab/>
        <w:t>If a reported violation is found true and punished with an administrative fine over NT$1,200, a reward will be given to the informant according to the violations and the proportion of reward specified in the annex.</w:t>
      </w:r>
    </w:p>
    <w:p w14:paraId="7ECA446D" w14:textId="77777777" w:rsidR="00C73B6F" w:rsidRPr="0081517D" w:rsidRDefault="00C73B6F" w:rsidP="001A3267">
      <w:pPr>
        <w:ind w:left="1418"/>
        <w:rPr>
          <w:rFonts w:ascii="Times New Roman" w:hAnsi="Times New Roman" w:cs="Times New Roman"/>
        </w:rPr>
      </w:pPr>
      <w:r w:rsidRPr="0081517D">
        <w:rPr>
          <w:rFonts w:ascii="Times New Roman" w:hAnsi="Times New Roman" w:cs="Times New Roman"/>
        </w:rPr>
        <w:t>The maximum amount of reward for each report is NT$50,000. Each violation will only be rewarded once.</w:t>
      </w:r>
    </w:p>
    <w:p w14:paraId="30AFFE56" w14:textId="4D850C85" w:rsidR="00C73B6F" w:rsidRPr="0081517D" w:rsidRDefault="00C73B6F" w:rsidP="001A3267">
      <w:pPr>
        <w:ind w:left="1418"/>
        <w:rPr>
          <w:rFonts w:ascii="Times New Roman" w:hAnsi="Times New Roman" w:cs="Times New Roman"/>
        </w:rPr>
      </w:pPr>
      <w:r w:rsidRPr="0081517D">
        <w:rPr>
          <w:rFonts w:ascii="Times New Roman" w:hAnsi="Times New Roman" w:cs="Times New Roman"/>
        </w:rPr>
        <w:t xml:space="preserve">The maximum amount of rewards for reports made by the same informant according </w:t>
      </w:r>
      <w:bookmarkStart w:id="0" w:name="_GoBack"/>
      <w:r w:rsidRPr="0081517D">
        <w:rPr>
          <w:rFonts w:ascii="Times New Roman" w:hAnsi="Times New Roman" w:cs="Times New Roman"/>
        </w:rPr>
        <w:t xml:space="preserve">to </w:t>
      </w:r>
      <w:r w:rsidR="00B950D4">
        <w:rPr>
          <w:rFonts w:ascii="Times New Roman" w:hAnsi="Times New Roman" w:cs="Times New Roman"/>
        </w:rPr>
        <w:t xml:space="preserve">the </w:t>
      </w:r>
      <w:r w:rsidR="00071435">
        <w:rPr>
          <w:rFonts w:ascii="Times New Roman" w:hAnsi="Times New Roman" w:cs="Times New Roman"/>
        </w:rPr>
        <w:t>above tw</w:t>
      </w:r>
      <w:r w:rsidR="00071435" w:rsidRPr="006C5D74">
        <w:rPr>
          <w:rFonts w:ascii="Times New Roman" w:hAnsi="Times New Roman" w:cs="Times New Roman"/>
        </w:rPr>
        <w:t xml:space="preserve">o </w:t>
      </w:r>
      <w:r w:rsidRPr="006C5D74">
        <w:rPr>
          <w:rFonts w:ascii="Times New Roman" w:hAnsi="Times New Roman" w:cs="Times New Roman"/>
        </w:rPr>
        <w:t>paragraph</w:t>
      </w:r>
      <w:r w:rsidR="00071435" w:rsidRPr="006C5D74">
        <w:rPr>
          <w:rFonts w:ascii="Times New Roman" w:hAnsi="Times New Roman" w:cs="Times New Roman"/>
        </w:rPr>
        <w:t>s</w:t>
      </w:r>
      <w:r w:rsidRPr="0081517D">
        <w:rPr>
          <w:rFonts w:ascii="Times New Roman" w:hAnsi="Times New Roman" w:cs="Times New Roman"/>
        </w:rPr>
        <w:t xml:space="preserve"> </w:t>
      </w:r>
      <w:bookmarkEnd w:id="0"/>
      <w:r w:rsidRPr="0081517D">
        <w:rPr>
          <w:rFonts w:ascii="Times New Roman" w:hAnsi="Times New Roman" w:cs="Times New Roman"/>
        </w:rPr>
        <w:t>shall be NT$300,000 a year.</w:t>
      </w:r>
    </w:p>
    <w:p w14:paraId="6ABD0314" w14:textId="57245F69"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6</w:t>
      </w:r>
      <w:r w:rsidRPr="0081517D">
        <w:rPr>
          <w:rFonts w:ascii="Times New Roman" w:hAnsi="Times New Roman" w:cs="Times New Roman"/>
        </w:rPr>
        <w:tab/>
        <w:t>For reports made by two or more persons, the reward will be evenly shared among each informant. If the same violation is reported with solid evidence by two or more informants one after another, the reward will be given to the first informant and will not be shared with later informants.</w:t>
      </w:r>
      <w:r w:rsidR="007579BE">
        <w:rPr>
          <w:rFonts w:ascii="Times New Roman" w:hAnsi="Times New Roman" w:cs="Times New Roman"/>
        </w:rPr>
        <w:t xml:space="preserve"> The reward shall be equally shared among informants </w:t>
      </w:r>
      <w:r w:rsidR="0047289D">
        <w:rPr>
          <w:rFonts w:ascii="Times New Roman" w:hAnsi="Times New Roman" w:cs="Times New Roman"/>
        </w:rPr>
        <w:t>when the report sequence cannot be determined.</w:t>
      </w:r>
    </w:p>
    <w:p w14:paraId="702C0E4C" w14:textId="5AF58BAC" w:rsidR="00C73B6F"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7</w:t>
      </w:r>
      <w:r w:rsidRPr="0081517D">
        <w:rPr>
          <w:rFonts w:ascii="Times New Roman" w:hAnsi="Times New Roman" w:cs="Times New Roman"/>
        </w:rPr>
        <w:tab/>
        <w:t>For cases with approved rewards, the DEP will notify the informants to collect the rewards and withhold the tax according to the related regulations.</w:t>
      </w:r>
    </w:p>
    <w:p w14:paraId="652D795C" w14:textId="1B982156" w:rsidR="007E62C0" w:rsidRPr="0081517D" w:rsidRDefault="00C73B6F" w:rsidP="001A3267">
      <w:pPr>
        <w:ind w:left="1418" w:hanging="1418"/>
        <w:rPr>
          <w:rFonts w:ascii="Times New Roman" w:hAnsi="Times New Roman" w:cs="Times New Roman"/>
        </w:rPr>
      </w:pPr>
      <w:r w:rsidRPr="0081517D">
        <w:rPr>
          <w:rFonts w:ascii="Times New Roman" w:hAnsi="Times New Roman" w:cs="Times New Roman"/>
        </w:rPr>
        <w:t>Article 8</w:t>
      </w:r>
      <w:r w:rsidRPr="0081517D">
        <w:rPr>
          <w:rFonts w:ascii="Times New Roman" w:hAnsi="Times New Roman" w:cs="Times New Roman"/>
        </w:rPr>
        <w:tab/>
        <w:t>The Regulations shall take effect as of the date of promulgation.</w:t>
      </w:r>
    </w:p>
    <w:sectPr w:rsidR="007E62C0" w:rsidRPr="0081517D" w:rsidSect="00C73B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3B87" w14:textId="77777777" w:rsidR="004028AE" w:rsidRDefault="004028AE" w:rsidP="001A3267">
      <w:r>
        <w:separator/>
      </w:r>
    </w:p>
  </w:endnote>
  <w:endnote w:type="continuationSeparator" w:id="0">
    <w:p w14:paraId="7F08A1AE" w14:textId="77777777" w:rsidR="004028AE" w:rsidRDefault="004028AE" w:rsidP="001A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928A" w14:textId="77777777" w:rsidR="004028AE" w:rsidRDefault="004028AE" w:rsidP="001A3267">
      <w:r>
        <w:separator/>
      </w:r>
    </w:p>
  </w:footnote>
  <w:footnote w:type="continuationSeparator" w:id="0">
    <w:p w14:paraId="01A07D58" w14:textId="77777777" w:rsidR="004028AE" w:rsidRDefault="004028AE" w:rsidP="001A3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6F"/>
    <w:rsid w:val="000157CA"/>
    <w:rsid w:val="00071435"/>
    <w:rsid w:val="000A2006"/>
    <w:rsid w:val="001A3267"/>
    <w:rsid w:val="00283CFF"/>
    <w:rsid w:val="004028AE"/>
    <w:rsid w:val="004236C6"/>
    <w:rsid w:val="0047289D"/>
    <w:rsid w:val="00491E02"/>
    <w:rsid w:val="004C1042"/>
    <w:rsid w:val="00590ADF"/>
    <w:rsid w:val="006C5D74"/>
    <w:rsid w:val="007579BE"/>
    <w:rsid w:val="007B1DC1"/>
    <w:rsid w:val="007E62C0"/>
    <w:rsid w:val="0081517D"/>
    <w:rsid w:val="00845C42"/>
    <w:rsid w:val="009E7FAC"/>
    <w:rsid w:val="00A23918"/>
    <w:rsid w:val="00B950D4"/>
    <w:rsid w:val="00C50AD4"/>
    <w:rsid w:val="00C73B6F"/>
    <w:rsid w:val="00F75C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ECC36"/>
  <w15:chartTrackingRefBased/>
  <w15:docId w15:val="{B0F44129-A46B-4413-A2E4-53921EF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267"/>
    <w:pPr>
      <w:tabs>
        <w:tab w:val="center" w:pos="4153"/>
        <w:tab w:val="right" w:pos="8306"/>
      </w:tabs>
      <w:snapToGrid w:val="0"/>
    </w:pPr>
    <w:rPr>
      <w:sz w:val="20"/>
      <w:szCs w:val="20"/>
    </w:rPr>
  </w:style>
  <w:style w:type="character" w:customStyle="1" w:styleId="a4">
    <w:name w:val="頁首 字元"/>
    <w:basedOn w:val="a0"/>
    <w:link w:val="a3"/>
    <w:uiPriority w:val="99"/>
    <w:rsid w:val="001A3267"/>
    <w:rPr>
      <w:sz w:val="20"/>
      <w:szCs w:val="20"/>
    </w:rPr>
  </w:style>
  <w:style w:type="paragraph" w:styleId="a5">
    <w:name w:val="footer"/>
    <w:basedOn w:val="a"/>
    <w:link w:val="a6"/>
    <w:uiPriority w:val="99"/>
    <w:unhideWhenUsed/>
    <w:rsid w:val="001A3267"/>
    <w:pPr>
      <w:tabs>
        <w:tab w:val="center" w:pos="4153"/>
        <w:tab w:val="right" w:pos="8306"/>
      </w:tabs>
      <w:snapToGrid w:val="0"/>
    </w:pPr>
    <w:rPr>
      <w:sz w:val="20"/>
      <w:szCs w:val="20"/>
    </w:rPr>
  </w:style>
  <w:style w:type="character" w:customStyle="1" w:styleId="a6">
    <w:name w:val="頁尾 字元"/>
    <w:basedOn w:val="a0"/>
    <w:link w:val="a5"/>
    <w:uiPriority w:val="99"/>
    <w:rsid w:val="001A3267"/>
    <w:rPr>
      <w:sz w:val="20"/>
      <w:szCs w:val="20"/>
    </w:rPr>
  </w:style>
  <w:style w:type="character" w:styleId="a7">
    <w:name w:val="annotation reference"/>
    <w:basedOn w:val="a0"/>
    <w:uiPriority w:val="99"/>
    <w:semiHidden/>
    <w:unhideWhenUsed/>
    <w:rsid w:val="000157CA"/>
    <w:rPr>
      <w:sz w:val="18"/>
      <w:szCs w:val="18"/>
    </w:rPr>
  </w:style>
  <w:style w:type="paragraph" w:styleId="a8">
    <w:name w:val="annotation text"/>
    <w:basedOn w:val="a"/>
    <w:link w:val="a9"/>
    <w:uiPriority w:val="99"/>
    <w:semiHidden/>
    <w:unhideWhenUsed/>
    <w:rsid w:val="000157CA"/>
  </w:style>
  <w:style w:type="character" w:customStyle="1" w:styleId="a9">
    <w:name w:val="註解文字 字元"/>
    <w:basedOn w:val="a0"/>
    <w:link w:val="a8"/>
    <w:uiPriority w:val="99"/>
    <w:semiHidden/>
    <w:rsid w:val="000157CA"/>
  </w:style>
  <w:style w:type="paragraph" w:styleId="aa">
    <w:name w:val="annotation subject"/>
    <w:basedOn w:val="a8"/>
    <w:next w:val="a8"/>
    <w:link w:val="ab"/>
    <w:uiPriority w:val="99"/>
    <w:semiHidden/>
    <w:unhideWhenUsed/>
    <w:rsid w:val="000157CA"/>
    <w:rPr>
      <w:b/>
      <w:bCs/>
    </w:rPr>
  </w:style>
  <w:style w:type="character" w:customStyle="1" w:styleId="ab">
    <w:name w:val="註解主旨 字元"/>
    <w:basedOn w:val="a9"/>
    <w:link w:val="aa"/>
    <w:uiPriority w:val="99"/>
    <w:semiHidden/>
    <w:rsid w:val="000157CA"/>
    <w:rPr>
      <w:b/>
      <w:bCs/>
    </w:rPr>
  </w:style>
  <w:style w:type="paragraph" w:styleId="ac">
    <w:name w:val="Balloon Text"/>
    <w:basedOn w:val="a"/>
    <w:link w:val="ad"/>
    <w:uiPriority w:val="99"/>
    <w:semiHidden/>
    <w:unhideWhenUsed/>
    <w:rsid w:val="000157C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15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89A3-D645-4C44-9D1F-57CE1A2F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1752</Words>
  <Characters>2313</Characters>
  <Application>Microsoft Office Word</Application>
  <DocSecurity>0</DocSecurity>
  <Lines>105</Lines>
  <Paragraphs>112</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3</cp:revision>
  <cp:lastPrinted>2020-12-16T03:05:00Z</cp:lastPrinted>
  <dcterms:created xsi:type="dcterms:W3CDTF">2020-12-17T08:44:00Z</dcterms:created>
  <dcterms:modified xsi:type="dcterms:W3CDTF">2020-12-17T08:45:00Z</dcterms:modified>
</cp:coreProperties>
</file>