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212"/>
        <w:gridCol w:w="6745"/>
      </w:tblGrid>
      <w:tr w:rsidR="00336B63" w:rsidRPr="00336B63" w:rsidTr="005A2BD7">
        <w:trPr>
          <w:trHeight w:val="791"/>
          <w:tblHeader/>
        </w:trPr>
        <w:tc>
          <w:tcPr>
            <w:tcW w:w="9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D7" w:rsidRPr="00336B63" w:rsidRDefault="005A2BD7" w:rsidP="005A2BD7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336B6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32"/>
                <w:szCs w:val="32"/>
              </w:rPr>
              <w:t>嚴重特殊傳染性肺炎</w:t>
            </w:r>
            <w:r w:rsidRPr="00336B6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（</w:t>
            </w:r>
            <w:r w:rsidRPr="00336B6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COVID-19</w:t>
            </w:r>
            <w:r w:rsidRPr="00336B6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）</w:t>
            </w:r>
            <w:proofErr w:type="gramStart"/>
            <w:r w:rsidRPr="00336B6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疫</w:t>
            </w:r>
            <w:proofErr w:type="gramEnd"/>
            <w:r w:rsidRPr="00336B6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情</w:t>
            </w:r>
            <w:r w:rsidRPr="00336B6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32"/>
                <w:szCs w:val="32"/>
                <w:lang w:eastAsia="zh-HK"/>
              </w:rPr>
              <w:t>之</w:t>
            </w:r>
            <w:r w:rsidRPr="00336B6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穩定就業因應措施</w:t>
            </w:r>
          </w:p>
          <w:p w:rsidR="005A2BD7" w:rsidRPr="00336B63" w:rsidRDefault="005A2BD7" w:rsidP="00192BD8">
            <w:pPr>
              <w:pStyle w:val="TableContents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6B6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「</w:t>
            </w:r>
            <w:r w:rsidRPr="00336B6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32"/>
                <w:szCs w:val="32"/>
              </w:rPr>
              <w:t>安</w:t>
            </w:r>
            <w:r w:rsidR="009C0671" w:rsidRPr="00336B6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32"/>
                <w:szCs w:val="32"/>
              </w:rPr>
              <w:t>穩僱用</w:t>
            </w:r>
            <w:r w:rsidRPr="00336B6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32"/>
                <w:szCs w:val="32"/>
              </w:rPr>
              <w:t>計畫</w:t>
            </w:r>
            <w:r w:rsidR="009C0671" w:rsidRPr="00336B6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」</w:t>
            </w:r>
            <w:r w:rsidRPr="00336B6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32"/>
                <w:szCs w:val="32"/>
              </w:rPr>
              <w:t>Q&amp;A</w:t>
            </w:r>
            <w:r w:rsidRPr="00336B6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(1</w:t>
            </w:r>
            <w:r w:rsidR="009C0671" w:rsidRPr="00336B6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32"/>
                <w:szCs w:val="32"/>
              </w:rPr>
              <w:t>10</w:t>
            </w:r>
            <w:r w:rsidRPr="00336B6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9C0671" w:rsidRPr="00336B6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336B6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192BD8" w:rsidRPr="00336B6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32"/>
                <w:szCs w:val="32"/>
              </w:rPr>
              <w:t>12</w:t>
            </w:r>
            <w:r w:rsidRPr="00336B6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  <w:r w:rsidR="00A03EE1" w:rsidRPr="00336B6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="00A03EE1" w:rsidRPr="00336B6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32"/>
                <w:szCs w:val="32"/>
              </w:rPr>
              <w:t>雇主</w:t>
            </w:r>
          </w:p>
        </w:tc>
      </w:tr>
      <w:tr w:rsidR="00A44B06" w:rsidRPr="00A44B06" w:rsidTr="00CF60F7">
        <w:trPr>
          <w:tblHeader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D7" w:rsidRPr="00A44B06" w:rsidRDefault="005A2BD7" w:rsidP="00CF60F7">
            <w:pPr>
              <w:pStyle w:val="TableContents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D7" w:rsidRPr="00A44B06" w:rsidRDefault="005A2BD7" w:rsidP="00CF60F7">
            <w:pPr>
              <w:pStyle w:val="TableContents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問題</w:t>
            </w: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D7" w:rsidRPr="00A44B06" w:rsidRDefault="005A2BD7" w:rsidP="00CF60F7">
            <w:pPr>
              <w:pStyle w:val="TableContents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說明內容</w:t>
            </w:r>
          </w:p>
        </w:tc>
      </w:tr>
      <w:tr w:rsidR="00A44B06" w:rsidRPr="00A44B06" w:rsidTr="00B8176F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2BD7" w:rsidRPr="00A44B06" w:rsidRDefault="002E7FAB" w:rsidP="00B8176F">
            <w:pPr>
              <w:pStyle w:val="TableContents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8E0693"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D7" w:rsidRPr="00A44B06" w:rsidRDefault="009C0671" w:rsidP="00B817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bCs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HK"/>
              </w:rPr>
              <w:t>安穩僱用</w:t>
            </w:r>
            <w:r w:rsidR="005A2BD7"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HK"/>
              </w:rPr>
              <w:t>計畫主要內容是什麼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D7" w:rsidRPr="00A44B06" w:rsidRDefault="009E49F0" w:rsidP="009E49F0">
            <w:pPr>
              <w:pStyle w:val="A3"/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為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/>
                <w:lang w:bidi="hi-IN"/>
              </w:rPr>
              <w:t>因應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嚴重特殊傳染性肺炎（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COVID-19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）對於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/>
                <w:lang w:bidi="hi-IN"/>
              </w:rPr>
              <w:t>國內就業市場之影響，</w:t>
            </w:r>
            <w:r w:rsidR="005802B6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/>
                <w:lang w:bidi="hi-IN"/>
              </w:rPr>
              <w:t>勞動部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/>
                <w:lang w:bidi="hi-IN"/>
              </w:rPr>
              <w:t>運用僱用獎助與就業獎勵措施，鼓勵雇主僱用失業者，以協助及穩定國民就業</w:t>
            </w:r>
            <w:r w:rsidR="009A1030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/>
                <w:lang w:bidi="hi-IN"/>
              </w:rPr>
              <w:t>。</w:t>
            </w:r>
          </w:p>
        </w:tc>
      </w:tr>
      <w:tr w:rsidR="00A44B06" w:rsidRPr="00A44B06" w:rsidTr="00B8176F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346B" w:rsidRPr="00A44B06" w:rsidRDefault="00BC53AF" w:rsidP="00B8176F">
            <w:pPr>
              <w:pStyle w:val="TableContents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46B" w:rsidRPr="00A44B06" w:rsidRDefault="00336B63" w:rsidP="0054583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bCs/>
                <w:color w:val="000000" w:themeColor="text1"/>
                <w:sz w:val="28"/>
                <w:szCs w:val="28"/>
                <w:lang w:eastAsia="zh-HK"/>
              </w:rPr>
            </w:pP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HK"/>
              </w:rPr>
              <w:t>受理單位、</w:t>
            </w: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媒合推</w:t>
            </w:r>
            <w:proofErr w:type="gramStart"/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介</w:t>
            </w:r>
            <w:proofErr w:type="gramEnd"/>
            <w:r w:rsidR="0001346B"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HK"/>
              </w:rPr>
              <w:t>期間</w:t>
            </w:r>
            <w:r w:rsidR="00545837"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及</w:t>
            </w:r>
            <w:r w:rsidR="00E16789"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參加</w:t>
            </w:r>
            <w:r w:rsidR="00545837"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管道</w:t>
            </w:r>
            <w:r w:rsidR="0001346B"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HK"/>
              </w:rPr>
              <w:t>為何？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01C" w:rsidRPr="00A44B06" w:rsidRDefault="0049701C" w:rsidP="0049701C">
            <w:pPr>
              <w:pStyle w:val="A3"/>
              <w:numPr>
                <w:ilvl w:val="0"/>
                <w:numId w:val="5"/>
              </w:numPr>
              <w:spacing w:line="460" w:lineRule="exact"/>
              <w:ind w:left="317" w:hanging="317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受理單位：</w:t>
            </w:r>
            <w:r w:rsidR="005F6102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公立就業服務機構。</w:t>
            </w:r>
          </w:p>
          <w:p w:rsidR="0049701C" w:rsidRPr="00A44B06" w:rsidRDefault="00336B63" w:rsidP="00336B63">
            <w:pPr>
              <w:pStyle w:val="A3"/>
              <w:numPr>
                <w:ilvl w:val="0"/>
                <w:numId w:val="5"/>
              </w:numP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媒合推</w:t>
            </w:r>
            <w:proofErr w:type="gramStart"/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介</w:t>
            </w:r>
            <w:proofErr w:type="gramEnd"/>
            <w:r w:rsidR="0049701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期間：自</w:t>
            </w:r>
            <w:r w:rsidR="0049701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110</w:t>
            </w:r>
            <w:r w:rsidR="0049701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="0049701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7</w:t>
            </w:r>
            <w:r w:rsidR="0049701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="00DA3801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12</w:t>
            </w:r>
            <w:r w:rsidR="0049701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日起至</w:t>
            </w:r>
            <w:r w:rsidR="009D5367" w:rsidRPr="009D5367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111</w:t>
            </w:r>
            <w:r w:rsidR="0049701C" w:rsidRPr="009D5367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年</w:t>
            </w:r>
            <w:r w:rsidR="009D5367" w:rsidRPr="009D5367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6</w:t>
            </w:r>
            <w:r w:rsidR="0049701C" w:rsidRPr="009D5367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月</w:t>
            </w:r>
            <w:r w:rsidR="0049701C" w:rsidRPr="009D5367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30</w:t>
            </w:r>
            <w:r w:rsidR="0049701C" w:rsidRPr="009D5367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日</w:t>
            </w:r>
            <w:r w:rsidR="0049701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止。</w:t>
            </w:r>
          </w:p>
          <w:p w:rsidR="00545837" w:rsidRPr="00A44B06" w:rsidRDefault="00E16789" w:rsidP="00E16789">
            <w:pPr>
              <w:pStyle w:val="A3"/>
              <w:numPr>
                <w:ilvl w:val="0"/>
                <w:numId w:val="5"/>
              </w:numPr>
              <w:spacing w:line="460" w:lineRule="exact"/>
              <w:ind w:left="317" w:hanging="317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參加</w:t>
            </w:r>
            <w:r w:rsidR="00545837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管道</w:t>
            </w:r>
            <w:r w:rsidR="0049701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：</w:t>
            </w:r>
          </w:p>
          <w:p w:rsidR="00545837" w:rsidRPr="00A44B06" w:rsidRDefault="00545837" w:rsidP="00545837">
            <w:pPr>
              <w:pStyle w:val="A3"/>
              <w:numPr>
                <w:ilvl w:val="0"/>
                <w:numId w:val="13"/>
              </w:numP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實體通路</w:t>
            </w:r>
            <w:r w:rsidRPr="00A44B06">
              <w:rPr>
                <w:rFonts w:ascii="新細明體" w:eastAsia="新細明體" w:hAnsi="新細明體" w:cs="Times New Roman"/>
                <w:color w:val="000000" w:themeColor="text1"/>
                <w:kern w:val="0"/>
                <w:sz w:val="28"/>
                <w:szCs w:val="28"/>
              </w:rPr>
              <w:t>：</w:t>
            </w:r>
            <w:r w:rsidR="005F6102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公立就業服務機構。</w:t>
            </w:r>
          </w:p>
          <w:p w:rsidR="0001346B" w:rsidRPr="00A44B06" w:rsidRDefault="00545837" w:rsidP="00EF69F2">
            <w:pPr>
              <w:pStyle w:val="A3"/>
              <w:numPr>
                <w:ilvl w:val="0"/>
                <w:numId w:val="13"/>
              </w:numP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虛擬通路</w:t>
            </w:r>
            <w:r w:rsidRPr="00A44B06">
              <w:rPr>
                <w:rFonts w:ascii="新細明體" w:eastAsia="新細明體" w:hAnsi="新細明體" w:cs="Times New Roman"/>
                <w:color w:val="000000" w:themeColor="text1"/>
                <w:kern w:val="0"/>
                <w:sz w:val="28"/>
                <w:szCs w:val="28"/>
              </w:rPr>
              <w:t>：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台灣就業通</w:t>
            </w:r>
          </w:p>
        </w:tc>
      </w:tr>
      <w:tr w:rsidR="00A44B06" w:rsidRPr="00A44B06" w:rsidTr="00B8176F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6B63" w:rsidRPr="00A44B06" w:rsidRDefault="00336B63" w:rsidP="00336B63">
            <w:pPr>
              <w:pStyle w:val="TableContents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B63" w:rsidRPr="00A44B06" w:rsidRDefault="00336B63" w:rsidP="00336B6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bCs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雇主參加計畫所需條件為何？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B63" w:rsidRPr="00A44B06" w:rsidRDefault="00336B63" w:rsidP="00336B63">
            <w:pPr>
              <w:pStyle w:val="A3"/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為下列之就業保險投保單位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但不包括實施減班休息或大量解僱之單位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：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:rsidR="00336B63" w:rsidRPr="00A44B06" w:rsidRDefault="00336B63" w:rsidP="00336B63">
            <w:pPr>
              <w:pStyle w:val="A3"/>
              <w:numPr>
                <w:ilvl w:val="0"/>
                <w:numId w:val="12"/>
              </w:numP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民營事業單位</w:t>
            </w:r>
          </w:p>
          <w:p w:rsidR="00336B63" w:rsidRPr="00A44B06" w:rsidRDefault="00336B63" w:rsidP="00336B63">
            <w:pPr>
              <w:pStyle w:val="A3"/>
              <w:numPr>
                <w:ilvl w:val="0"/>
                <w:numId w:val="12"/>
              </w:numPr>
              <w:spacing w:line="460" w:lineRule="exact"/>
              <w:ind w:left="317" w:hanging="317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私立學校</w:t>
            </w:r>
          </w:p>
          <w:p w:rsidR="00336B63" w:rsidRPr="00A44B06" w:rsidRDefault="00336B63" w:rsidP="00336B63">
            <w:pPr>
              <w:pStyle w:val="A3"/>
              <w:numPr>
                <w:ilvl w:val="0"/>
                <w:numId w:val="12"/>
              </w:numPr>
              <w:spacing w:line="460" w:lineRule="exact"/>
              <w:ind w:left="317" w:hanging="317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依人民團體法或其他法令設立之團體。但不包括政治團體及政黨</w:t>
            </w:r>
          </w:p>
        </w:tc>
      </w:tr>
      <w:tr w:rsidR="00A44B06" w:rsidRPr="00A44B06" w:rsidTr="00B8176F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6B63" w:rsidRPr="00A44B06" w:rsidRDefault="00336B63" w:rsidP="00336B63">
            <w:pPr>
              <w:pStyle w:val="TableContents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B63" w:rsidRPr="00A44B06" w:rsidRDefault="00336B63" w:rsidP="00336B6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bCs/>
                <w:color w:val="000000" w:themeColor="text1"/>
                <w:sz w:val="28"/>
                <w:szCs w:val="28"/>
                <w:lang w:eastAsia="zh-HK"/>
              </w:rPr>
            </w:pP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HK"/>
              </w:rPr>
              <w:t>雇主僱用符合何種條件的失業勞工可以申請僱用獎助？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B63" w:rsidRPr="00A44B06" w:rsidRDefault="00336B63" w:rsidP="00336B63">
            <w:pPr>
              <w:pStyle w:val="A3"/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只要在</w:t>
            </w:r>
            <w:r w:rsidRPr="009D5367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11</w:t>
            </w:r>
            <w:r w:rsidR="009D5367" w:rsidRPr="009D5367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1</w:t>
            </w:r>
            <w:r w:rsidRPr="009D5367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年</w:t>
            </w:r>
            <w:r w:rsidR="009D5367" w:rsidRPr="009D5367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6</w:t>
            </w:r>
            <w:r w:rsidRPr="009D5367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月</w:t>
            </w:r>
            <w:r w:rsidRPr="009D5367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30</w:t>
            </w:r>
            <w:r w:rsidRPr="009D5367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日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前僱用由公立就業服務機構推</w:t>
            </w:r>
            <w:proofErr w:type="gramStart"/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介</w:t>
            </w:r>
            <w:proofErr w:type="gramEnd"/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的失業勞工</w:t>
            </w:r>
            <w:r w:rsidRPr="00A44B06">
              <w:rPr>
                <w:rFonts w:ascii="新細明體" w:eastAsia="新細明體" w:hAnsi="新細明體" w:cs="Times New Roman"/>
                <w:color w:val="000000" w:themeColor="text1"/>
                <w:kern w:val="0"/>
                <w:sz w:val="28"/>
                <w:szCs w:val="28"/>
              </w:rPr>
              <w:t>，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並持續僱用滿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30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日以上</w:t>
            </w:r>
            <w:r w:rsidRPr="00A44B06">
              <w:rPr>
                <w:rFonts w:ascii="新細明體" w:eastAsia="新細明體" w:hAnsi="新細明體" w:cs="Times New Roman"/>
                <w:color w:val="000000" w:themeColor="text1"/>
                <w:kern w:val="0"/>
                <w:sz w:val="28"/>
                <w:szCs w:val="28"/>
              </w:rPr>
              <w:t>，</w:t>
            </w:r>
            <w:proofErr w:type="gramStart"/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即可獎</w:t>
            </w:r>
            <w:proofErr w:type="gramEnd"/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助僱用</w:t>
            </w:r>
            <w:r w:rsidRPr="00A44B06">
              <w:rPr>
                <w:rFonts w:ascii="新細明體" w:eastAsia="新細明體" w:hAnsi="新細明體" w:cs="Times New Roman"/>
                <w:color w:val="000000" w:themeColor="text1"/>
                <w:kern w:val="0"/>
                <w:sz w:val="28"/>
                <w:szCs w:val="28"/>
              </w:rPr>
              <w:t>，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但不包括僱用雇主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含事業單位負責人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的配偶、直系血親或三親等內之旁系血親</w:t>
            </w:r>
            <w:r w:rsidR="00BC0B51" w:rsidRPr="00A44B06">
              <w:rPr>
                <w:rFonts w:ascii="新細明體" w:eastAsia="新細明體" w:hAnsi="新細明體" w:cs="Times New Roman"/>
                <w:color w:val="000000" w:themeColor="text1"/>
                <w:kern w:val="0"/>
                <w:sz w:val="28"/>
                <w:szCs w:val="28"/>
              </w:rPr>
              <w:t>，</w:t>
            </w:r>
            <w:r w:rsidR="00BC0B51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以及該單位離職未滿一年之勞工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，且需符合下列規定：</w:t>
            </w:r>
          </w:p>
          <w:p w:rsidR="00336B63" w:rsidRPr="00A44B06" w:rsidRDefault="00336B63" w:rsidP="00336B63">
            <w:pPr>
              <w:pStyle w:val="A3"/>
              <w:numPr>
                <w:ilvl w:val="0"/>
                <w:numId w:val="6"/>
              </w:numPr>
              <w:spacing w:line="460" w:lineRule="exact"/>
              <w:ind w:left="317" w:hanging="317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於本署台灣就業通網站之本計畫專區申請參加</w:t>
            </w:r>
          </w:p>
          <w:p w:rsidR="00336B63" w:rsidRPr="00A44B06" w:rsidRDefault="00336B63" w:rsidP="00F15203">
            <w:pPr>
              <w:pStyle w:val="A3"/>
              <w:numPr>
                <w:ilvl w:val="0"/>
                <w:numId w:val="6"/>
              </w:numP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給予全時工作勞工</w:t>
            </w:r>
            <w:r w:rsidR="007D6C90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每月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薪資應不低於中央主管機關公告之基本工資</w:t>
            </w:r>
            <w:r w:rsidR="00F15203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(24,000</w:t>
            </w:r>
            <w:r w:rsidR="00F15203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元</w:t>
            </w:r>
            <w:r w:rsidR="00F15203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，而部分工時之勞工每月薪資不得低於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12,800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元</w:t>
            </w:r>
            <w:r w:rsidRPr="00A44B06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336B63" w:rsidRPr="00A44B06" w:rsidRDefault="00336B63" w:rsidP="00336B63">
            <w:pPr>
              <w:pStyle w:val="A3"/>
              <w:numPr>
                <w:ilvl w:val="0"/>
                <w:numId w:val="6"/>
              </w:numPr>
              <w:spacing w:line="460" w:lineRule="exact"/>
              <w:ind w:left="317" w:hanging="317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依法為受</w:t>
            </w:r>
            <w:proofErr w:type="gramStart"/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僱</w:t>
            </w:r>
            <w:proofErr w:type="gramEnd"/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勞工投保就業保險或職業災害保險</w:t>
            </w:r>
            <w:r w:rsidRPr="00A44B06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A44B06" w:rsidRPr="00A44B06" w:rsidTr="00B8176F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6B63" w:rsidRPr="00A44B06" w:rsidRDefault="00336B63" w:rsidP="00336B63">
            <w:pPr>
              <w:pStyle w:val="TableContents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B63" w:rsidRPr="00A44B06" w:rsidRDefault="00336B63" w:rsidP="00336B6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bCs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雇主</w:t>
            </w:r>
            <w:r w:rsidR="005E66D4"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依不同僱用期程</w:t>
            </w: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可以申請</w:t>
            </w:r>
            <w:r w:rsidR="005E66D4"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的</w:t>
            </w: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僱用獎助金額為何</w:t>
            </w:r>
            <w:r w:rsidRPr="00A44B06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B63" w:rsidRPr="0073239B" w:rsidRDefault="00336B63" w:rsidP="00336B63">
            <w:pPr>
              <w:pStyle w:val="A3"/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</w:p>
          <w:p w:rsidR="00336B63" w:rsidRPr="00A44B06" w:rsidRDefault="00336B63" w:rsidP="00336B63">
            <w:pPr>
              <w:pStyle w:val="A3"/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</w:p>
          <w:p w:rsidR="00336B63" w:rsidRPr="00A44B06" w:rsidRDefault="00336B63" w:rsidP="00336B63">
            <w:pPr>
              <w:pStyle w:val="A3"/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</w:p>
          <w:p w:rsidR="00336B63" w:rsidRPr="00A44B06" w:rsidRDefault="00336B63" w:rsidP="00336B63">
            <w:pPr>
              <w:pStyle w:val="A3"/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</w:p>
          <w:p w:rsidR="00336B63" w:rsidRPr="00A44B06" w:rsidRDefault="00336B63" w:rsidP="00336B63">
            <w:pPr>
              <w:pStyle w:val="A3"/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</w:p>
          <w:p w:rsidR="005E66D4" w:rsidRPr="00A44B06" w:rsidRDefault="0073239B" w:rsidP="00336B63">
            <w:pPr>
              <w:pStyle w:val="A3"/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  <w:r w:rsidRPr="00097092"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0" distR="0" wp14:anchorId="36CB9CD1" wp14:editId="3C4BC2DC">
                  <wp:extent cx="3427356" cy="1604426"/>
                  <wp:effectExtent l="0" t="0" r="190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獎助標準(雇主)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153" cy="1618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6B63" w:rsidRPr="00A44B06" w:rsidRDefault="00336B63" w:rsidP="004E1656">
            <w:pPr>
              <w:pStyle w:val="A3"/>
              <w:spacing w:line="40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備註</w:t>
            </w:r>
          </w:p>
          <w:p w:rsidR="004E1656" w:rsidRPr="00A44B06" w:rsidRDefault="00336B63" w:rsidP="004E1656">
            <w:pPr>
              <w:pStyle w:val="A3"/>
              <w:numPr>
                <w:ilvl w:val="0"/>
                <w:numId w:val="15"/>
              </w:numPr>
              <w:spacing w:line="400" w:lineRule="exact"/>
              <w:ind w:left="311" w:hanging="311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個月以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30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日計。</w:t>
            </w:r>
          </w:p>
          <w:p w:rsidR="00336B63" w:rsidRPr="00A44B06" w:rsidRDefault="00336B63" w:rsidP="004E1656">
            <w:pPr>
              <w:pStyle w:val="A3"/>
              <w:numPr>
                <w:ilvl w:val="0"/>
                <w:numId w:val="15"/>
              </w:numPr>
              <w:spacing w:line="400" w:lineRule="exact"/>
              <w:ind w:left="311" w:hanging="311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連續僱用滿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30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日以上，未達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或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4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個月者，按僱用期間月數比例發給。</w:t>
            </w:r>
          </w:p>
          <w:p w:rsidR="00FD668C" w:rsidRPr="002214F7" w:rsidRDefault="00FF0F11" w:rsidP="0020652C">
            <w:pPr>
              <w:pStyle w:val="A3"/>
              <w:numPr>
                <w:ilvl w:val="0"/>
                <w:numId w:val="15"/>
              </w:numPr>
              <w:spacing w:line="400" w:lineRule="exact"/>
              <w:ind w:left="317" w:hanging="31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本計畫所定僱用</w:t>
            </w:r>
            <w:r w:rsidR="000E3C2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期間之認定，自受</w:t>
            </w:r>
            <w:proofErr w:type="gramStart"/>
            <w:r w:rsidR="000E3C2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僱</w:t>
            </w:r>
            <w:proofErr w:type="gramEnd"/>
            <w:r w:rsidR="000E3C2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勞工到職投保就業保險或職業災害保險生效之日起算，</w:t>
            </w:r>
            <w:r w:rsidR="000E3C2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</w:t>
            </w:r>
            <w:r w:rsidR="000E3C2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個月以</w:t>
            </w:r>
            <w:r w:rsidR="000E3C2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30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日計算；</w:t>
            </w:r>
            <w:proofErr w:type="gramStart"/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其末月</w:t>
            </w:r>
            <w:proofErr w:type="gramEnd"/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僱用</w:t>
            </w:r>
            <w:r w:rsidR="000E3C2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時間逾</w:t>
            </w:r>
            <w:r w:rsidR="000E3C2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20</w:t>
            </w:r>
            <w:r w:rsidR="000E3C2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日而未滿</w:t>
            </w:r>
            <w:r w:rsidR="000E3C2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30</w:t>
            </w:r>
            <w:r w:rsidR="000E3C2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日者，以</w:t>
            </w:r>
            <w:r w:rsidR="000E3C2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</w:t>
            </w:r>
            <w:r w:rsidR="000E3C2C"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個月計算</w:t>
            </w:r>
            <w:r w:rsidR="002214F7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。</w:t>
            </w:r>
          </w:p>
          <w:tbl>
            <w:tblPr>
              <w:tblStyle w:val="ab"/>
              <w:tblW w:w="48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275"/>
              <w:gridCol w:w="1418"/>
            </w:tblGrid>
            <w:tr w:rsidR="002214F7" w:rsidRPr="006C6774" w:rsidTr="00A8108A">
              <w:tc>
                <w:tcPr>
                  <w:tcW w:w="2122" w:type="dxa"/>
                  <w:vMerge w:val="restart"/>
                  <w:vAlign w:val="center"/>
                </w:tcPr>
                <w:p w:rsidR="002214F7" w:rsidRPr="006C6774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  <w:noProof/>
                      <w:lang w:bidi="ar-SA"/>
                    </w:rPr>
                    <w:drawing>
                      <wp:inline distT="0" distB="0" distL="0" distR="0" wp14:anchorId="15BADB80" wp14:editId="3C837FF6">
                        <wp:extent cx="1543050" cy="533400"/>
                        <wp:effectExtent l="0" t="0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3" w:type="dxa"/>
                  <w:gridSpan w:val="2"/>
                </w:tcPr>
                <w:p w:rsidR="002214F7" w:rsidRPr="006C6774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C6774">
                    <w:rPr>
                      <w:rFonts w:ascii="標楷體" w:eastAsia="標楷體" w:hAnsi="標楷體" w:hint="eastAsia"/>
                    </w:rPr>
                    <w:t>雇主-僱用獎助</w:t>
                  </w:r>
                </w:p>
              </w:tc>
            </w:tr>
            <w:tr w:rsidR="002214F7" w:rsidRPr="006C6774" w:rsidTr="00A8108A">
              <w:trPr>
                <w:trHeight w:val="313"/>
              </w:trPr>
              <w:tc>
                <w:tcPr>
                  <w:tcW w:w="2122" w:type="dxa"/>
                  <w:vMerge/>
                  <w:tcBorders>
                    <w:top w:val="nil"/>
                  </w:tcBorders>
                </w:tcPr>
                <w:p w:rsidR="002214F7" w:rsidRPr="006C6774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2214F7" w:rsidRPr="006C6774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C6774">
                    <w:rPr>
                      <w:rFonts w:ascii="標楷體" w:eastAsia="標楷體" w:hAnsi="標楷體" w:hint="eastAsia"/>
                    </w:rPr>
                    <w:t>全時工作</w:t>
                  </w:r>
                </w:p>
              </w:tc>
              <w:tc>
                <w:tcPr>
                  <w:tcW w:w="1418" w:type="dxa"/>
                </w:tcPr>
                <w:p w:rsidR="002214F7" w:rsidRPr="006C6774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C6774">
                    <w:rPr>
                      <w:rFonts w:ascii="標楷體" w:eastAsia="標楷體" w:hAnsi="標楷體" w:hint="eastAsia"/>
                    </w:rPr>
                    <w:t>部分工時</w:t>
                  </w:r>
                </w:p>
              </w:tc>
            </w:tr>
            <w:tr w:rsidR="002214F7" w:rsidRPr="001F07A0" w:rsidTr="00A8108A">
              <w:tc>
                <w:tcPr>
                  <w:tcW w:w="2122" w:type="dxa"/>
                </w:tcPr>
                <w:p w:rsidR="002214F7" w:rsidRPr="006C6774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僱用未達30天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4F7" w:rsidRPr="001F07A0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1F07A0">
                    <w:rPr>
                      <w:rFonts w:ascii="新細明體" w:hAnsi="新細明體" w:hint="eastAsia"/>
                    </w:rPr>
                    <w:t>Ｘ</w:t>
                  </w:r>
                  <w:proofErr w:type="gramEnd"/>
                </w:p>
              </w:tc>
              <w:tc>
                <w:tcPr>
                  <w:tcW w:w="1418" w:type="dxa"/>
                  <w:vAlign w:val="center"/>
                </w:tcPr>
                <w:p w:rsidR="002214F7" w:rsidRPr="001F07A0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1F07A0">
                    <w:rPr>
                      <w:rFonts w:ascii="新細明體" w:hAnsi="新細明體" w:hint="eastAsia"/>
                    </w:rPr>
                    <w:t>Ｘ</w:t>
                  </w:r>
                  <w:proofErr w:type="gramEnd"/>
                </w:p>
              </w:tc>
            </w:tr>
            <w:tr w:rsidR="002214F7" w:rsidRPr="001F07A0" w:rsidTr="00A8108A">
              <w:tc>
                <w:tcPr>
                  <w:tcW w:w="2122" w:type="dxa"/>
                </w:tcPr>
                <w:p w:rsidR="002214F7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僱用30天-50天</w:t>
                  </w:r>
                </w:p>
                <w:p w:rsidR="002214F7" w:rsidRPr="006C6774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(1個月)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4F7" w:rsidRPr="001F07A0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F07A0">
                    <w:rPr>
                      <w:rFonts w:ascii="標楷體" w:eastAsia="標楷體" w:hAnsi="標楷體" w:hint="eastAsia"/>
                    </w:rPr>
                    <w:t>7</w:t>
                  </w:r>
                  <w:r w:rsidRPr="001F07A0">
                    <w:rPr>
                      <w:rFonts w:ascii="標楷體" w:eastAsia="標楷體" w:hAnsi="標楷體"/>
                    </w:rPr>
                    <w:t>,</w:t>
                  </w:r>
                  <w:r w:rsidRPr="001F07A0">
                    <w:rPr>
                      <w:rFonts w:ascii="標楷體" w:eastAsia="標楷體" w:hAnsi="標楷體" w:hint="eastAsia"/>
                    </w:rPr>
                    <w:t>500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4F7" w:rsidRPr="001F07A0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F07A0">
                    <w:rPr>
                      <w:rFonts w:ascii="標楷體" w:eastAsia="標楷體" w:hAnsi="標楷體" w:hint="eastAsia"/>
                    </w:rPr>
                    <w:t>3</w:t>
                  </w:r>
                  <w:r w:rsidRPr="001F07A0">
                    <w:rPr>
                      <w:rFonts w:ascii="標楷體" w:eastAsia="標楷體" w:hAnsi="標楷體"/>
                    </w:rPr>
                    <w:t>,</w:t>
                  </w:r>
                  <w:r w:rsidRPr="001F07A0">
                    <w:rPr>
                      <w:rFonts w:ascii="標楷體" w:eastAsia="標楷體" w:hAnsi="標楷體" w:hint="eastAsia"/>
                    </w:rPr>
                    <w:t>750</w:t>
                  </w:r>
                </w:p>
              </w:tc>
            </w:tr>
            <w:tr w:rsidR="002214F7" w:rsidRPr="001F07A0" w:rsidTr="00A8108A">
              <w:tc>
                <w:tcPr>
                  <w:tcW w:w="2122" w:type="dxa"/>
                </w:tcPr>
                <w:p w:rsidR="002214F7" w:rsidRPr="006C6774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569EE">
                    <w:rPr>
                      <w:rFonts w:ascii="標楷體" w:eastAsia="標楷體" w:hAnsi="標楷體" w:hint="eastAsia"/>
                    </w:rPr>
                    <w:t>僱用</w:t>
                  </w:r>
                  <w:r>
                    <w:rPr>
                      <w:rFonts w:ascii="標楷體" w:eastAsia="標楷體" w:hAnsi="標楷體" w:hint="eastAsia"/>
                    </w:rPr>
                    <w:t>51</w:t>
                  </w:r>
                  <w:r w:rsidRPr="004569EE">
                    <w:rPr>
                      <w:rFonts w:ascii="標楷體" w:eastAsia="標楷體" w:hAnsi="標楷體" w:hint="eastAsia"/>
                    </w:rPr>
                    <w:t>天</w:t>
                  </w:r>
                  <w:r>
                    <w:rPr>
                      <w:rFonts w:ascii="標楷體" w:eastAsia="標楷體" w:hAnsi="標楷體" w:hint="eastAsia"/>
                    </w:rPr>
                    <w:t>-80</w:t>
                  </w:r>
                  <w:r w:rsidRPr="004569EE">
                    <w:rPr>
                      <w:rFonts w:ascii="標楷體" w:eastAsia="標楷體" w:hAnsi="標楷體" w:hint="eastAsia"/>
                    </w:rPr>
                    <w:t>天</w:t>
                  </w:r>
                  <w:r w:rsidRPr="00392548"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  <w:r w:rsidRPr="00392548">
                    <w:rPr>
                      <w:rFonts w:ascii="標楷體" w:eastAsia="標楷體" w:hAnsi="標楷體" w:hint="eastAsia"/>
                    </w:rPr>
                    <w:t>個月)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4F7" w:rsidRPr="001F07A0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F07A0">
                    <w:rPr>
                      <w:rFonts w:ascii="標楷體" w:eastAsia="標楷體" w:hAnsi="標楷體" w:hint="eastAsia"/>
                    </w:rPr>
                    <w:t>15</w:t>
                  </w:r>
                  <w:r w:rsidRPr="001F07A0">
                    <w:rPr>
                      <w:rFonts w:ascii="標楷體" w:eastAsia="標楷體" w:hAnsi="標楷體"/>
                    </w:rPr>
                    <w:t>,</w:t>
                  </w:r>
                  <w:r w:rsidRPr="001F07A0">
                    <w:rPr>
                      <w:rFonts w:ascii="標楷體" w:eastAsia="標楷體" w:hAnsi="標楷體" w:hint="eastAsia"/>
                    </w:rPr>
                    <w:t>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4F7" w:rsidRPr="001F07A0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F07A0">
                    <w:rPr>
                      <w:rFonts w:ascii="標楷體" w:eastAsia="標楷體" w:hAnsi="標楷體" w:hint="eastAsia"/>
                    </w:rPr>
                    <w:t>7</w:t>
                  </w:r>
                  <w:r w:rsidRPr="001F07A0">
                    <w:rPr>
                      <w:rFonts w:ascii="標楷體" w:eastAsia="標楷體" w:hAnsi="標楷體"/>
                    </w:rPr>
                    <w:t>,</w:t>
                  </w:r>
                  <w:r w:rsidRPr="001F07A0">
                    <w:rPr>
                      <w:rFonts w:ascii="標楷體" w:eastAsia="標楷體" w:hAnsi="標楷體" w:hint="eastAsia"/>
                    </w:rPr>
                    <w:t>500</w:t>
                  </w:r>
                </w:p>
              </w:tc>
            </w:tr>
            <w:tr w:rsidR="002214F7" w:rsidRPr="001F07A0" w:rsidTr="00A8108A">
              <w:tc>
                <w:tcPr>
                  <w:tcW w:w="2122" w:type="dxa"/>
                </w:tcPr>
                <w:p w:rsidR="002214F7" w:rsidRPr="006C6774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569EE">
                    <w:rPr>
                      <w:rFonts w:ascii="標楷體" w:eastAsia="標楷體" w:hAnsi="標楷體" w:hint="eastAsia"/>
                    </w:rPr>
                    <w:t>僱用</w:t>
                  </w:r>
                  <w:r>
                    <w:rPr>
                      <w:rFonts w:ascii="標楷體" w:eastAsia="標楷體" w:hAnsi="標楷體" w:hint="eastAsia"/>
                    </w:rPr>
                    <w:t>81</w:t>
                  </w:r>
                  <w:r w:rsidRPr="004569EE">
                    <w:rPr>
                      <w:rFonts w:ascii="標楷體" w:eastAsia="標楷體" w:hAnsi="標楷體" w:hint="eastAsia"/>
                    </w:rPr>
                    <w:t>天</w:t>
                  </w:r>
                  <w:r>
                    <w:rPr>
                      <w:rFonts w:ascii="標楷體" w:eastAsia="標楷體" w:hAnsi="標楷體" w:hint="eastAsia"/>
                    </w:rPr>
                    <w:t>-110</w:t>
                  </w:r>
                  <w:r w:rsidRPr="004569EE">
                    <w:rPr>
                      <w:rFonts w:ascii="標楷體" w:eastAsia="標楷體" w:hAnsi="標楷體" w:hint="eastAsia"/>
                    </w:rPr>
                    <w:t>天</w:t>
                  </w:r>
                  <w:r w:rsidRPr="00392548"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392548">
                    <w:rPr>
                      <w:rFonts w:ascii="標楷體" w:eastAsia="標楷體" w:hAnsi="標楷體" w:hint="eastAsia"/>
                    </w:rPr>
                    <w:t>個月)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4F7" w:rsidRPr="001F07A0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F07A0">
                    <w:rPr>
                      <w:rFonts w:ascii="標楷體" w:eastAsia="標楷體" w:hAnsi="標楷體" w:hint="eastAsia"/>
                    </w:rPr>
                    <w:t>22</w:t>
                  </w:r>
                  <w:r w:rsidRPr="001F07A0">
                    <w:rPr>
                      <w:rFonts w:ascii="標楷體" w:eastAsia="標楷體" w:hAnsi="標楷體"/>
                    </w:rPr>
                    <w:t>,</w:t>
                  </w:r>
                  <w:r w:rsidRPr="001F07A0">
                    <w:rPr>
                      <w:rFonts w:ascii="標楷體" w:eastAsia="標楷體" w:hAnsi="標楷體" w:hint="eastAsia"/>
                    </w:rPr>
                    <w:t>500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4F7" w:rsidRPr="001F07A0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F07A0">
                    <w:rPr>
                      <w:rFonts w:ascii="標楷體" w:eastAsia="標楷體" w:hAnsi="標楷體" w:hint="eastAsia"/>
                    </w:rPr>
                    <w:t>11</w:t>
                  </w:r>
                  <w:r w:rsidRPr="001F07A0">
                    <w:rPr>
                      <w:rFonts w:ascii="標楷體" w:eastAsia="標楷體" w:hAnsi="標楷體"/>
                    </w:rPr>
                    <w:t>,</w:t>
                  </w:r>
                  <w:r w:rsidRPr="001F07A0">
                    <w:rPr>
                      <w:rFonts w:ascii="標楷體" w:eastAsia="標楷體" w:hAnsi="標楷體" w:hint="eastAsia"/>
                    </w:rPr>
                    <w:t>250</w:t>
                  </w:r>
                </w:p>
              </w:tc>
            </w:tr>
            <w:tr w:rsidR="002214F7" w:rsidRPr="001F07A0" w:rsidTr="00A8108A">
              <w:tc>
                <w:tcPr>
                  <w:tcW w:w="2122" w:type="dxa"/>
                </w:tcPr>
                <w:p w:rsidR="002214F7" w:rsidRPr="006C6774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569EE">
                    <w:rPr>
                      <w:rFonts w:ascii="標楷體" w:eastAsia="標楷體" w:hAnsi="標楷體" w:hint="eastAsia"/>
                    </w:rPr>
                    <w:t>僱用</w:t>
                  </w:r>
                  <w:r>
                    <w:rPr>
                      <w:rFonts w:ascii="標楷體" w:eastAsia="標楷體" w:hAnsi="標楷體" w:hint="eastAsia"/>
                    </w:rPr>
                    <w:t>111</w:t>
                  </w:r>
                  <w:r w:rsidRPr="004569EE">
                    <w:rPr>
                      <w:rFonts w:ascii="標楷體" w:eastAsia="標楷體" w:hAnsi="標楷體" w:hint="eastAsia"/>
                    </w:rPr>
                    <w:t>天</w:t>
                  </w:r>
                  <w:r>
                    <w:rPr>
                      <w:rFonts w:ascii="標楷體" w:eastAsia="標楷體" w:hAnsi="標楷體" w:hint="eastAsia"/>
                    </w:rPr>
                    <w:t>以上</w:t>
                  </w:r>
                  <w:r w:rsidRPr="00392548"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4</w:t>
                  </w:r>
                  <w:r w:rsidRPr="00392548">
                    <w:rPr>
                      <w:rFonts w:ascii="標楷體" w:eastAsia="標楷體" w:hAnsi="標楷體" w:hint="eastAsia"/>
                    </w:rPr>
                    <w:t>個月)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4F7" w:rsidRPr="001F07A0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F07A0">
                    <w:rPr>
                      <w:rFonts w:ascii="標楷體" w:eastAsia="標楷體" w:hAnsi="標楷體" w:hint="eastAsia"/>
                    </w:rPr>
                    <w:t>30</w:t>
                  </w:r>
                  <w:r w:rsidRPr="001F07A0">
                    <w:rPr>
                      <w:rFonts w:ascii="標楷體" w:eastAsia="標楷體" w:hAnsi="標楷體"/>
                    </w:rPr>
                    <w:t>,</w:t>
                  </w:r>
                  <w:r w:rsidRPr="001F07A0">
                    <w:rPr>
                      <w:rFonts w:ascii="標楷體" w:eastAsia="標楷體" w:hAnsi="標楷體" w:hint="eastAsia"/>
                    </w:rPr>
                    <w:t>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4F7" w:rsidRPr="001F07A0" w:rsidRDefault="002214F7" w:rsidP="00A8108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F07A0">
                    <w:rPr>
                      <w:rFonts w:ascii="標楷體" w:eastAsia="標楷體" w:hAnsi="標楷體" w:hint="eastAsia"/>
                    </w:rPr>
                    <w:t>15</w:t>
                  </w:r>
                  <w:r w:rsidRPr="001F07A0">
                    <w:rPr>
                      <w:rFonts w:ascii="標楷體" w:eastAsia="標楷體" w:hAnsi="標楷體"/>
                    </w:rPr>
                    <w:t>,</w:t>
                  </w:r>
                  <w:r w:rsidRPr="001F07A0">
                    <w:rPr>
                      <w:rFonts w:ascii="標楷體" w:eastAsia="標楷體" w:hAnsi="標楷體" w:hint="eastAsia"/>
                    </w:rPr>
                    <w:t>000</w:t>
                  </w:r>
                </w:p>
              </w:tc>
            </w:tr>
          </w:tbl>
          <w:p w:rsidR="002214F7" w:rsidRPr="00A44B06" w:rsidRDefault="002214F7" w:rsidP="002214F7">
            <w:pPr>
              <w:pStyle w:val="A3"/>
              <w:spacing w:line="400" w:lineRule="exact"/>
              <w:ind w:left="317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44B06" w:rsidRPr="00A44B06" w:rsidTr="00B8176F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6B63" w:rsidRPr="00A44B06" w:rsidRDefault="00336B63" w:rsidP="00336B63">
            <w:pPr>
              <w:pStyle w:val="TableContents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B63" w:rsidRPr="00A44B06" w:rsidRDefault="005768D8" w:rsidP="00336B6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bCs/>
                <w:color w:val="000000" w:themeColor="text1"/>
                <w:sz w:val="28"/>
                <w:szCs w:val="28"/>
              </w:rPr>
            </w:pPr>
            <w:r w:rsidRPr="00A44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雇主獎助領取期限及方式為何？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8D8" w:rsidRPr="00A44B06" w:rsidRDefault="005768D8" w:rsidP="005768D8">
            <w:pPr>
              <w:spacing w:line="46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可於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連續僱</w:t>
            </w: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用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每滿</w:t>
            </w: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個月之次日起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90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日內，檢附</w:t>
            </w: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以下申請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文件，向原推</w:t>
            </w:r>
            <w:proofErr w:type="gramStart"/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介</w:t>
            </w:r>
            <w:proofErr w:type="gramEnd"/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的公立就業服務機構申請，將於其審查通過後，匯入申請人指定金融帳戶</w:t>
            </w:r>
            <w:r w:rsidRPr="00A44B06">
              <w:rPr>
                <w:rFonts w:ascii="新細明體" w:hAnsi="新細明體" w:cs="Times New Roman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  <w:p w:rsidR="005768D8" w:rsidRPr="00A44B06" w:rsidRDefault="005768D8" w:rsidP="005768D8">
            <w:pPr>
              <w:pStyle w:val="a4"/>
              <w:numPr>
                <w:ilvl w:val="0"/>
                <w:numId w:val="9"/>
              </w:numPr>
              <w:suppressAutoHyphens/>
              <w:autoSpaceDN w:val="0"/>
              <w:spacing w:line="460" w:lineRule="exact"/>
              <w:ind w:leftChars="0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僱用獎助申請書及領取收據。</w:t>
            </w:r>
          </w:p>
          <w:p w:rsidR="005768D8" w:rsidRPr="00A44B06" w:rsidRDefault="005768D8" w:rsidP="005768D8">
            <w:pPr>
              <w:pStyle w:val="a4"/>
              <w:numPr>
                <w:ilvl w:val="0"/>
                <w:numId w:val="9"/>
              </w:numPr>
              <w:suppressAutoHyphens/>
              <w:autoSpaceDN w:val="0"/>
              <w:spacing w:line="460" w:lineRule="exact"/>
              <w:ind w:leftChars="0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僱用名冊、受</w:t>
            </w:r>
            <w:proofErr w:type="gramStart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僱</w:t>
            </w:r>
            <w:proofErr w:type="gramEnd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者的薪資清冊、出勤紀錄。</w:t>
            </w:r>
          </w:p>
          <w:p w:rsidR="005768D8" w:rsidRPr="00A44B06" w:rsidRDefault="005768D8" w:rsidP="005768D8">
            <w:pPr>
              <w:pStyle w:val="a4"/>
              <w:numPr>
                <w:ilvl w:val="0"/>
                <w:numId w:val="9"/>
              </w:numPr>
              <w:suppressAutoHyphens/>
              <w:autoSpaceDN w:val="0"/>
              <w:spacing w:line="460" w:lineRule="exact"/>
              <w:ind w:leftChars="0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</w:t>
            </w:r>
            <w:proofErr w:type="gramStart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僱</w:t>
            </w:r>
            <w:proofErr w:type="gramEnd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勞工的身分證文件影本或有效期間居留證明文件影本。</w:t>
            </w:r>
          </w:p>
          <w:p w:rsidR="00336B63" w:rsidRPr="00A44B06" w:rsidRDefault="005768D8" w:rsidP="005768D8">
            <w:pPr>
              <w:pStyle w:val="a4"/>
              <w:numPr>
                <w:ilvl w:val="0"/>
                <w:numId w:val="9"/>
              </w:numPr>
              <w:suppressAutoHyphens/>
              <w:autoSpaceDN w:val="0"/>
              <w:spacing w:line="460" w:lineRule="exact"/>
              <w:ind w:leftChars="0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請領僱用獎助的勞工保險、就業保險投保資料表或其他足資證明投保的文件。</w:t>
            </w:r>
          </w:p>
        </w:tc>
      </w:tr>
      <w:tr w:rsidR="00A44B06" w:rsidRPr="00A44B06" w:rsidTr="005C341D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6691" w:rsidRPr="00A44B06" w:rsidRDefault="00156691" w:rsidP="00156691">
            <w:pPr>
              <w:pStyle w:val="TableContents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691" w:rsidRPr="00A44B06" w:rsidRDefault="00156691" w:rsidP="00156691">
            <w:pPr>
              <w:pStyle w:val="Standard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雇主是否可以代受</w:t>
            </w:r>
            <w:proofErr w:type="gramStart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僱</w:t>
            </w:r>
            <w:proofErr w:type="gramEnd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勞工申請就業獎勵津貼？應備文件為何?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691" w:rsidRPr="00A44B06" w:rsidRDefault="00156691" w:rsidP="0015669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可以</w:t>
            </w:r>
            <w:r w:rsidRPr="00A44B0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只要送件申請僱用</w:t>
            </w:r>
            <w:proofErr w:type="gramStart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獎助時</w:t>
            </w:r>
            <w:proofErr w:type="gramEnd"/>
            <w:r w:rsidRPr="00A44B0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填列僱用獎助及就業獎勵申請書及領取收據</w:t>
            </w:r>
            <w:r w:rsidRPr="00A44B0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並附上受</w:t>
            </w:r>
            <w:proofErr w:type="gramStart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僱</w:t>
            </w:r>
            <w:proofErr w:type="gramEnd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勞工本人名義之國內金融機構存摺封面影本即可</w:t>
            </w:r>
            <w:proofErr w:type="gramStart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併</w:t>
            </w:r>
            <w:proofErr w:type="gramEnd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同申請該勞工之就業獎勵津貼</w:t>
            </w:r>
          </w:p>
        </w:tc>
      </w:tr>
      <w:tr w:rsidR="00A44B06" w:rsidRPr="00A44B06" w:rsidTr="0060310B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668C" w:rsidRPr="00A44B06" w:rsidRDefault="00FD668C" w:rsidP="00FD668C">
            <w:pPr>
              <w:pStyle w:val="TableContents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668C" w:rsidRPr="00A44B06" w:rsidRDefault="00FD668C" w:rsidP="00FD668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bCs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雇主是否可以運用僱用獎助措施僱用以前離職的員工？</w:t>
            </w: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668C" w:rsidRPr="00A44B06" w:rsidRDefault="00FD668C" w:rsidP="00FD668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bCs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雇主僱用離職未滿</w:t>
            </w: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年的勞工，不得請領僱用獎助。另僱用同一勞工，合併領取本計畫僱用獎助、就業保險促進就業實施辦法僱用獎助、失業中高齡者及高齡者就業促進辦法僱用獎助，及政府機關其他與僱用獎助相同性質補助或津貼</w:t>
            </w: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促進新住民就業補助作業要點僱用獎助、青年就業旗艦計畫</w:t>
            </w: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，最長</w:t>
            </w: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個月。</w:t>
            </w:r>
          </w:p>
        </w:tc>
      </w:tr>
      <w:tr w:rsidR="00A44B06" w:rsidRPr="00A44B06" w:rsidTr="00F27623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6691" w:rsidRPr="00A44B06" w:rsidRDefault="00156691" w:rsidP="00156691">
            <w:pPr>
              <w:pStyle w:val="TableContents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691" w:rsidRPr="00A44B06" w:rsidRDefault="00156691" w:rsidP="00156691">
            <w:pPr>
              <w:pStyle w:val="Standard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雇主申請本計畫僱用獎助的人數有上限嗎</w:t>
            </w:r>
            <w:r w:rsidRPr="00A44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691" w:rsidRPr="00A44B06" w:rsidRDefault="00156691" w:rsidP="00156691">
            <w:pPr>
              <w:pStyle w:val="a4"/>
              <w:numPr>
                <w:ilvl w:val="0"/>
                <w:numId w:val="8"/>
              </w:numPr>
              <w:suppressAutoHyphens/>
              <w:autoSpaceDN w:val="0"/>
              <w:spacing w:line="460" w:lineRule="exact"/>
              <w:ind w:leftChars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本計畫雇主得申領獎助人數，以其就業保險及職業災害保險之投保總人數的30%為限，不足1人以1人計</w:t>
            </w:r>
            <w:r w:rsidRPr="00A44B0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最多不超過100人；勞工投保人數為10人以下的雇主，最多得獎助3人。例</w:t>
            </w:r>
            <w:r w:rsidRPr="00A44B0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：</w:t>
            </w: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若申請單位若投保人數為81人，則該單位最多得補助25人(81*30%=24.3，不足1人以1人計)。</w:t>
            </w:r>
          </w:p>
          <w:p w:rsidR="00156691" w:rsidRPr="00A44B06" w:rsidRDefault="00156691" w:rsidP="00156691">
            <w:pPr>
              <w:pStyle w:val="a4"/>
              <w:numPr>
                <w:ilvl w:val="0"/>
                <w:numId w:val="8"/>
              </w:numPr>
              <w:suppressAutoHyphens/>
              <w:autoSpaceDN w:val="0"/>
              <w:spacing w:line="460" w:lineRule="exact"/>
              <w:ind w:leftChars="0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就業保險及職業災害保險之投保總人數，以申請日前最近一個月為基準。但無最近一個月之投保人數資料者，以申請日當月為基準。</w:t>
            </w:r>
          </w:p>
          <w:p w:rsidR="00156691" w:rsidRPr="00A44B06" w:rsidRDefault="00156691" w:rsidP="00156691">
            <w:pPr>
              <w:pStyle w:val="a4"/>
              <w:numPr>
                <w:ilvl w:val="0"/>
                <w:numId w:val="8"/>
              </w:numPr>
              <w:suppressAutoHyphens/>
              <w:autoSpaceDN w:val="0"/>
              <w:spacing w:line="460" w:lineRule="exact"/>
              <w:ind w:leftChars="0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運用就業保險促進就業實施辦法及</w:t>
            </w:r>
            <w:r w:rsidRPr="00A44B0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失業中高齡者及高齡者就業促進辦法</w:t>
            </w: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的僱用獎助措施，僱用失業勞工人數無限制。</w:t>
            </w:r>
          </w:p>
        </w:tc>
      </w:tr>
      <w:tr w:rsidR="00A44B06" w:rsidRPr="00A44B06" w:rsidTr="00F27623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6691" w:rsidRPr="00A44B06" w:rsidRDefault="00156691" w:rsidP="00156691">
            <w:pPr>
              <w:pStyle w:val="TableContents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 w:rsidR="00541399"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691" w:rsidRPr="00A44B06" w:rsidRDefault="00156691" w:rsidP="00156691">
            <w:pPr>
              <w:pStyle w:val="Standard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想要僱用勞工來打工是否可以申請本計畫？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691" w:rsidRPr="00A44B06" w:rsidRDefault="00156691" w:rsidP="00156691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可以，但需要符合下列規定</w:t>
            </w:r>
            <w:r w:rsidRPr="00A44B0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：</w:t>
            </w:r>
          </w:p>
          <w:p w:rsidR="00156691" w:rsidRPr="00A44B06" w:rsidRDefault="00156691" w:rsidP="00156691">
            <w:pPr>
              <w:pStyle w:val="a4"/>
              <w:numPr>
                <w:ilvl w:val="0"/>
                <w:numId w:val="14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單位應符合就業保險投保單位(但不包括實施減班休息或大量解僱之單位)</w:t>
            </w:r>
          </w:p>
          <w:p w:rsidR="00156691" w:rsidRPr="00A44B06" w:rsidRDefault="00156691" w:rsidP="00156691">
            <w:pPr>
              <w:pStyle w:val="a4"/>
              <w:numPr>
                <w:ilvl w:val="0"/>
                <w:numId w:val="14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勞工需經公立就業服務機構推</w:t>
            </w:r>
            <w:proofErr w:type="gramStart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</w:t>
            </w:r>
            <w:proofErr w:type="gramEnd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，並開立本計畫僱用獎助推</w:t>
            </w:r>
            <w:proofErr w:type="gramStart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</w:t>
            </w:r>
            <w:proofErr w:type="gramEnd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卡及就業獎勵推</w:t>
            </w:r>
            <w:proofErr w:type="gramStart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</w:t>
            </w:r>
            <w:proofErr w:type="gramEnd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卡</w:t>
            </w:r>
            <w:r w:rsidRPr="00A44B0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且於推</w:t>
            </w:r>
            <w:proofErr w:type="gramStart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</w:t>
            </w:r>
            <w:proofErr w:type="gramEnd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A44B0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未有參加就業保險或勞工保險紀錄。</w:t>
            </w:r>
          </w:p>
          <w:p w:rsidR="00156691" w:rsidRPr="00A44B06" w:rsidRDefault="00156691" w:rsidP="00156691">
            <w:pPr>
              <w:pStyle w:val="a4"/>
              <w:numPr>
                <w:ilvl w:val="0"/>
                <w:numId w:val="14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勞工部分工時的每月薪資不得低於12</w:t>
            </w:r>
            <w:r w:rsidRPr="00A44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800元，且需連續僱用滿30日以上，並於僱用每滿2個月之次日起90日內，檢附應備文件申請僱用獎助（每滿2個月領7</w:t>
            </w:r>
            <w:r w:rsidRPr="00A44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500元</w:t>
            </w:r>
            <w:r w:rsidRPr="00A44B0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最高可領取15</w:t>
            </w:r>
            <w:r w:rsidRPr="00A44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000元</w:t>
            </w:r>
            <w:r w:rsidRPr="00A44B0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4個月）</w:t>
            </w:r>
            <w:r w:rsidRPr="00A44B0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同時也可以一起幫勞工申請就業獎助津貼（每滿2個月領5,000元，最高可領取10,000元，4個月）</w:t>
            </w:r>
            <w:r w:rsidRPr="00A44B0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44B06" w:rsidRPr="00A44B06" w:rsidTr="00F27623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6691" w:rsidRPr="00A44B06" w:rsidRDefault="00156691" w:rsidP="00554219">
            <w:pPr>
              <w:pStyle w:val="TableContents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554219" w:rsidRPr="00A44B0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691" w:rsidRPr="00A44B06" w:rsidRDefault="00156691" w:rsidP="00554219">
            <w:pPr>
              <w:pStyle w:val="Standard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目前有</w:t>
            </w:r>
            <w:r w:rsidR="006C5C3D"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實施</w:t>
            </w: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減班休息或大量解僱的情形</w:t>
            </w:r>
            <w:r w:rsidRPr="00A44B0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可否申請本計畫？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691" w:rsidRPr="00A44B06" w:rsidRDefault="00156691" w:rsidP="00156691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不可以</w:t>
            </w:r>
            <w:r w:rsidRPr="00A44B0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依本計畫第4點及第17點規定</w:t>
            </w:r>
            <w:r w:rsidRPr="00A44B0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雇主於參加本計畫及領取僱用獎助</w:t>
            </w:r>
            <w:proofErr w:type="gramStart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期間</w:t>
            </w:r>
            <w:r w:rsidRPr="00A44B0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proofErr w:type="gramEnd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不得有與所</w:t>
            </w:r>
            <w:proofErr w:type="gramStart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僱</w:t>
            </w:r>
            <w:proofErr w:type="gramEnd"/>
            <w:r w:rsidRPr="00A44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勞工發生減班休息，大量解僱勞工之情事。</w:t>
            </w:r>
          </w:p>
        </w:tc>
      </w:tr>
      <w:tr w:rsidR="00A44B06" w:rsidRPr="00A44B06" w:rsidTr="00CF60F7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6691" w:rsidRPr="00A44B06" w:rsidRDefault="00156691" w:rsidP="00414FBF">
            <w:pPr>
              <w:pStyle w:val="TableContents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414FBF" w:rsidRPr="00A44B0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691" w:rsidRPr="00A44B06" w:rsidRDefault="00156691" w:rsidP="00156691">
            <w:pPr>
              <w:pStyle w:val="A3"/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bCs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申請僱用獎助期限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為何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？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691" w:rsidRPr="00A44B06" w:rsidRDefault="00156691" w:rsidP="00156691">
            <w:pPr>
              <w:pStyle w:val="A3"/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  <w:lang w:eastAsia="zh-HK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符合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安穩僱用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計畫僱用獎助之領取資格者，應於中華民國</w:t>
            </w:r>
            <w:r w:rsidRPr="004572F6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111</w:t>
            </w:r>
            <w:r w:rsidRPr="004572F6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  <w:lang w:eastAsia="zh-HK"/>
              </w:rPr>
              <w:t>年</w:t>
            </w:r>
            <w:r w:rsidR="004572F6" w:rsidRPr="004572F6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12</w:t>
            </w:r>
            <w:r w:rsidRPr="004572F6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  <w:lang w:eastAsia="zh-HK"/>
              </w:rPr>
              <w:t>月</w:t>
            </w:r>
            <w:r w:rsidR="004572F6" w:rsidRPr="004572F6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31</w:t>
            </w:r>
            <w:r w:rsidRPr="004572F6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  <w:lang w:eastAsia="zh-HK"/>
              </w:rPr>
              <w:t>日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前，申請核發補助；逾期者，不予發給。</w:t>
            </w:r>
          </w:p>
        </w:tc>
      </w:tr>
      <w:tr w:rsidR="00156691" w:rsidRPr="00A44B06" w:rsidTr="00CF60F7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6691" w:rsidRPr="00A44B06" w:rsidRDefault="00156691" w:rsidP="00414FBF">
            <w:pPr>
              <w:pStyle w:val="TableContents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414FBF" w:rsidRPr="00A44B0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44B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691" w:rsidRPr="00A44B06" w:rsidRDefault="00156691" w:rsidP="0015669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bCs/>
                <w:color w:val="000000" w:themeColor="text1"/>
                <w:sz w:val="28"/>
                <w:szCs w:val="28"/>
              </w:rPr>
            </w:pP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HK"/>
              </w:rPr>
              <w:t>本計畫相關諮詢管道為何</w:t>
            </w:r>
            <w:r w:rsidRPr="00A44B06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691" w:rsidRPr="00A44B06" w:rsidRDefault="00156691" w:rsidP="00156691">
            <w:pPr>
              <w:pStyle w:val="A3"/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  <w:lang w:eastAsia="zh-HK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(</w:t>
            </w:r>
            <w:proofErr w:type="gramStart"/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一</w:t>
            </w:r>
            <w:proofErr w:type="gramEnd"/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)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免</w:t>
            </w:r>
            <w:proofErr w:type="gramStart"/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付費客服</w:t>
            </w:r>
            <w:proofErr w:type="gramEnd"/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專線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0800-777888</w:t>
            </w:r>
          </w:p>
          <w:p w:rsidR="00156691" w:rsidRPr="00A44B06" w:rsidRDefault="00156691" w:rsidP="00156691">
            <w:pPr>
              <w:pStyle w:val="A3"/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  <w:lang w:eastAsia="zh-HK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(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二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)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各地公立就業服務機構：</w:t>
            </w:r>
          </w:p>
          <w:p w:rsidR="00156691" w:rsidRPr="00A44B06" w:rsidRDefault="00156691" w:rsidP="00156691">
            <w:pPr>
              <w:pStyle w:val="A3"/>
              <w:numPr>
                <w:ilvl w:val="0"/>
                <w:numId w:val="7"/>
              </w:numP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  <w:lang w:eastAsia="zh-HK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lastRenderedPageBreak/>
              <w:t>北基宜花金馬分署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 xml:space="preserve"> (02)8995-6399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分機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1416</w:t>
            </w:r>
          </w:p>
          <w:p w:rsidR="00156691" w:rsidRPr="00A44B06" w:rsidRDefault="00156691" w:rsidP="00156691">
            <w:pPr>
              <w:pStyle w:val="A3"/>
              <w:numPr>
                <w:ilvl w:val="0"/>
                <w:numId w:val="7"/>
              </w:numP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  <w:lang w:eastAsia="zh-HK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桃竹苗分署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 xml:space="preserve"> (03)485-5368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分機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181</w:t>
            </w:r>
            <w:r w:rsidRPr="00A44B06"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  <w:lang w:eastAsia="zh-HK"/>
              </w:rPr>
              <w:t>2</w:t>
            </w:r>
          </w:p>
          <w:p w:rsidR="00156691" w:rsidRPr="00A44B06" w:rsidRDefault="00156691" w:rsidP="00156691">
            <w:pPr>
              <w:pStyle w:val="A3"/>
              <w:numPr>
                <w:ilvl w:val="0"/>
                <w:numId w:val="7"/>
              </w:numP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  <w:lang w:eastAsia="zh-HK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中彰投分署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 xml:space="preserve"> (04)2359-2181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分機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2332</w:t>
            </w:r>
          </w:p>
          <w:p w:rsidR="00156691" w:rsidRPr="00A44B06" w:rsidRDefault="00156691" w:rsidP="00156691">
            <w:pPr>
              <w:pStyle w:val="A3"/>
              <w:numPr>
                <w:ilvl w:val="0"/>
                <w:numId w:val="7"/>
              </w:numP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  <w:lang w:eastAsia="zh-HK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雲嘉南分署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 xml:space="preserve"> (06)698-5945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分機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13</w:t>
            </w:r>
            <w:r w:rsidR="0065371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21</w:t>
            </w:r>
          </w:p>
          <w:p w:rsidR="00156691" w:rsidRPr="00A44B06" w:rsidRDefault="00156691" w:rsidP="00156691">
            <w:pPr>
              <w:pStyle w:val="A3"/>
              <w:numPr>
                <w:ilvl w:val="0"/>
                <w:numId w:val="7"/>
              </w:numPr>
              <w:spacing w:line="460" w:lineRule="exact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kern w:val="0"/>
                <w:sz w:val="28"/>
                <w:szCs w:val="28"/>
                <w:lang w:eastAsia="zh-HK"/>
              </w:rPr>
            </w:pP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高屏澎東分署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 xml:space="preserve"> (07)821-0171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分機</w:t>
            </w:r>
            <w:r w:rsidRPr="00A44B0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HK"/>
              </w:rPr>
              <w:t>2212</w:t>
            </w:r>
          </w:p>
        </w:tc>
      </w:tr>
    </w:tbl>
    <w:p w:rsidR="003328B9" w:rsidRPr="00A44B06" w:rsidRDefault="00565D56">
      <w:pPr>
        <w:rPr>
          <w:color w:val="000000" w:themeColor="text1"/>
        </w:rPr>
      </w:pPr>
    </w:p>
    <w:sectPr w:rsidR="003328B9" w:rsidRPr="00A44B06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56" w:rsidRDefault="00565D56" w:rsidP="002630C8">
      <w:r>
        <w:separator/>
      </w:r>
    </w:p>
  </w:endnote>
  <w:endnote w:type="continuationSeparator" w:id="0">
    <w:p w:rsidR="00565D56" w:rsidRDefault="00565D56" w:rsidP="0026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19099"/>
      <w:docPartObj>
        <w:docPartGallery w:val="Page Numbers (Bottom of Page)"/>
        <w:docPartUnique/>
      </w:docPartObj>
    </w:sdtPr>
    <w:sdtEndPr/>
    <w:sdtContent>
      <w:p w:rsidR="00AF7AB9" w:rsidRDefault="00AF7A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4F7" w:rsidRPr="002214F7">
          <w:rPr>
            <w:noProof/>
            <w:lang w:val="zh-TW"/>
          </w:rPr>
          <w:t>2</w:t>
        </w:r>
        <w:r>
          <w:fldChar w:fldCharType="end"/>
        </w:r>
      </w:p>
    </w:sdtContent>
  </w:sdt>
  <w:p w:rsidR="00AF7AB9" w:rsidRDefault="00AF7A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56" w:rsidRDefault="00565D56" w:rsidP="002630C8">
      <w:r>
        <w:separator/>
      </w:r>
    </w:p>
  </w:footnote>
  <w:footnote w:type="continuationSeparator" w:id="0">
    <w:p w:rsidR="00565D56" w:rsidRDefault="00565D56" w:rsidP="0026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DDA"/>
    <w:multiLevelType w:val="hybridMultilevel"/>
    <w:tmpl w:val="0C381EF8"/>
    <w:lvl w:ilvl="0" w:tplc="4F805DDA">
      <w:start w:val="4"/>
      <w:numFmt w:val="taiwaneseCountingThousand"/>
      <w:lvlText w:val="%1、"/>
      <w:lvlJc w:val="left"/>
      <w:pPr>
        <w:ind w:left="555" w:hanging="500"/>
      </w:pPr>
      <w:rPr>
        <w:rFonts w:hint="default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1">
    <w:nsid w:val="0AF92AD5"/>
    <w:multiLevelType w:val="hybridMultilevel"/>
    <w:tmpl w:val="9390641A"/>
    <w:lvl w:ilvl="0" w:tplc="96C0D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B10268"/>
    <w:multiLevelType w:val="hybridMultilevel"/>
    <w:tmpl w:val="8110ACD8"/>
    <w:lvl w:ilvl="0" w:tplc="6D8ABCF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82657B"/>
    <w:multiLevelType w:val="hybridMultilevel"/>
    <w:tmpl w:val="544C40EE"/>
    <w:lvl w:ilvl="0" w:tplc="33186BEA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4">
    <w:nsid w:val="19D10FCE"/>
    <w:multiLevelType w:val="hybridMultilevel"/>
    <w:tmpl w:val="01440E3E"/>
    <w:lvl w:ilvl="0" w:tplc="442A7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315648"/>
    <w:multiLevelType w:val="hybridMultilevel"/>
    <w:tmpl w:val="5AE453C6"/>
    <w:lvl w:ilvl="0" w:tplc="AD228590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27DA076E"/>
    <w:multiLevelType w:val="hybridMultilevel"/>
    <w:tmpl w:val="CAF00BBC"/>
    <w:lvl w:ilvl="0" w:tplc="67580B5A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934027"/>
    <w:multiLevelType w:val="hybridMultilevel"/>
    <w:tmpl w:val="1D78D018"/>
    <w:lvl w:ilvl="0" w:tplc="96C0D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22337E"/>
    <w:multiLevelType w:val="hybridMultilevel"/>
    <w:tmpl w:val="63760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1FF5CAB"/>
    <w:multiLevelType w:val="hybridMultilevel"/>
    <w:tmpl w:val="F71EF296"/>
    <w:lvl w:ilvl="0" w:tplc="FEF6D3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BB6452"/>
    <w:multiLevelType w:val="hybridMultilevel"/>
    <w:tmpl w:val="285EF226"/>
    <w:lvl w:ilvl="0" w:tplc="B622E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306307"/>
    <w:multiLevelType w:val="hybridMultilevel"/>
    <w:tmpl w:val="1D78D018"/>
    <w:lvl w:ilvl="0" w:tplc="96C0D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21484B"/>
    <w:multiLevelType w:val="hybridMultilevel"/>
    <w:tmpl w:val="77D0EEB2"/>
    <w:lvl w:ilvl="0" w:tplc="EE723B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3">
    <w:nsid w:val="69C87A21"/>
    <w:multiLevelType w:val="hybridMultilevel"/>
    <w:tmpl w:val="CC6A9954"/>
    <w:lvl w:ilvl="0" w:tplc="DAF0D45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4">
    <w:nsid w:val="74262729"/>
    <w:multiLevelType w:val="hybridMultilevel"/>
    <w:tmpl w:val="285EF226"/>
    <w:lvl w:ilvl="0" w:tplc="B622E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10"/>
  </w:num>
  <w:num w:numId="9">
    <w:abstractNumId w:val="14"/>
  </w:num>
  <w:num w:numId="10">
    <w:abstractNumId w:val="13"/>
  </w:num>
  <w:num w:numId="11">
    <w:abstractNumId w:val="5"/>
  </w:num>
  <w:num w:numId="12">
    <w:abstractNumId w:val="7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D7"/>
    <w:rsid w:val="00012349"/>
    <w:rsid w:val="0001346B"/>
    <w:rsid w:val="00021811"/>
    <w:rsid w:val="00071C46"/>
    <w:rsid w:val="000A69C3"/>
    <w:rsid w:val="000D5C3B"/>
    <w:rsid w:val="000E3C2C"/>
    <w:rsid w:val="00110D4C"/>
    <w:rsid w:val="00137FF4"/>
    <w:rsid w:val="00156691"/>
    <w:rsid w:val="001568D4"/>
    <w:rsid w:val="00192BD8"/>
    <w:rsid w:val="001A16A7"/>
    <w:rsid w:val="001A2D5A"/>
    <w:rsid w:val="001B7EDA"/>
    <w:rsid w:val="001C7E56"/>
    <w:rsid w:val="001D44E5"/>
    <w:rsid w:val="0020652C"/>
    <w:rsid w:val="002214F7"/>
    <w:rsid w:val="00237D9A"/>
    <w:rsid w:val="002419D7"/>
    <w:rsid w:val="002630C8"/>
    <w:rsid w:val="00266F08"/>
    <w:rsid w:val="00283B56"/>
    <w:rsid w:val="002C6EC8"/>
    <w:rsid w:val="002D2B31"/>
    <w:rsid w:val="002E7FAB"/>
    <w:rsid w:val="002F7897"/>
    <w:rsid w:val="00336819"/>
    <w:rsid w:val="00336B63"/>
    <w:rsid w:val="00357940"/>
    <w:rsid w:val="00370FCA"/>
    <w:rsid w:val="00390F25"/>
    <w:rsid w:val="003A0981"/>
    <w:rsid w:val="003A63F1"/>
    <w:rsid w:val="00414FBF"/>
    <w:rsid w:val="004572F6"/>
    <w:rsid w:val="00471791"/>
    <w:rsid w:val="0047540E"/>
    <w:rsid w:val="00483F17"/>
    <w:rsid w:val="0049701C"/>
    <w:rsid w:val="004A2832"/>
    <w:rsid w:val="004E1656"/>
    <w:rsid w:val="004E6892"/>
    <w:rsid w:val="004F49A9"/>
    <w:rsid w:val="00535FC4"/>
    <w:rsid w:val="00541399"/>
    <w:rsid w:val="00545837"/>
    <w:rsid w:val="00554219"/>
    <w:rsid w:val="005544F8"/>
    <w:rsid w:val="00565D56"/>
    <w:rsid w:val="00570C65"/>
    <w:rsid w:val="005768D8"/>
    <w:rsid w:val="005802B6"/>
    <w:rsid w:val="005870A5"/>
    <w:rsid w:val="005A2BD7"/>
    <w:rsid w:val="005A33C8"/>
    <w:rsid w:val="005C3B44"/>
    <w:rsid w:val="005C3BBF"/>
    <w:rsid w:val="005E66D4"/>
    <w:rsid w:val="005F6102"/>
    <w:rsid w:val="006008F8"/>
    <w:rsid w:val="006162AB"/>
    <w:rsid w:val="00625303"/>
    <w:rsid w:val="00633964"/>
    <w:rsid w:val="0065371B"/>
    <w:rsid w:val="00657FD2"/>
    <w:rsid w:val="006641E4"/>
    <w:rsid w:val="00693B08"/>
    <w:rsid w:val="006B0CC7"/>
    <w:rsid w:val="006C5C3D"/>
    <w:rsid w:val="006E2BFC"/>
    <w:rsid w:val="006E6E37"/>
    <w:rsid w:val="00704A67"/>
    <w:rsid w:val="0073239B"/>
    <w:rsid w:val="007400BB"/>
    <w:rsid w:val="00740A60"/>
    <w:rsid w:val="00757858"/>
    <w:rsid w:val="00760137"/>
    <w:rsid w:val="007A5132"/>
    <w:rsid w:val="007B5043"/>
    <w:rsid w:val="007C5BDF"/>
    <w:rsid w:val="007C7CCD"/>
    <w:rsid w:val="007D3445"/>
    <w:rsid w:val="007D6C90"/>
    <w:rsid w:val="007F1B3D"/>
    <w:rsid w:val="00801592"/>
    <w:rsid w:val="008422A4"/>
    <w:rsid w:val="00863F7C"/>
    <w:rsid w:val="008B3B15"/>
    <w:rsid w:val="008C28B1"/>
    <w:rsid w:val="008E0693"/>
    <w:rsid w:val="009165F7"/>
    <w:rsid w:val="009A1030"/>
    <w:rsid w:val="009B3E2D"/>
    <w:rsid w:val="009C0671"/>
    <w:rsid w:val="009D5367"/>
    <w:rsid w:val="009E49F0"/>
    <w:rsid w:val="009E4E2D"/>
    <w:rsid w:val="00A03EE1"/>
    <w:rsid w:val="00A0708C"/>
    <w:rsid w:val="00A15344"/>
    <w:rsid w:val="00A35629"/>
    <w:rsid w:val="00A44B06"/>
    <w:rsid w:val="00A44BAA"/>
    <w:rsid w:val="00A50DDA"/>
    <w:rsid w:val="00A7321F"/>
    <w:rsid w:val="00AB41DE"/>
    <w:rsid w:val="00AE1393"/>
    <w:rsid w:val="00AF7AB9"/>
    <w:rsid w:val="00B51617"/>
    <w:rsid w:val="00B57F37"/>
    <w:rsid w:val="00B91D81"/>
    <w:rsid w:val="00BC0B51"/>
    <w:rsid w:val="00BC53AF"/>
    <w:rsid w:val="00C40711"/>
    <w:rsid w:val="00C60966"/>
    <w:rsid w:val="00CF1468"/>
    <w:rsid w:val="00D23436"/>
    <w:rsid w:val="00D54707"/>
    <w:rsid w:val="00DA1941"/>
    <w:rsid w:val="00DA3801"/>
    <w:rsid w:val="00DA5702"/>
    <w:rsid w:val="00DC18FD"/>
    <w:rsid w:val="00DC5E64"/>
    <w:rsid w:val="00DD41E1"/>
    <w:rsid w:val="00E11CA1"/>
    <w:rsid w:val="00E16789"/>
    <w:rsid w:val="00ED5047"/>
    <w:rsid w:val="00EE16EA"/>
    <w:rsid w:val="00EF69F2"/>
    <w:rsid w:val="00F008C7"/>
    <w:rsid w:val="00F15203"/>
    <w:rsid w:val="00F4180A"/>
    <w:rsid w:val="00F444F4"/>
    <w:rsid w:val="00F65E8F"/>
    <w:rsid w:val="00F80BE2"/>
    <w:rsid w:val="00FC1B49"/>
    <w:rsid w:val="00FD244E"/>
    <w:rsid w:val="00FD668C"/>
    <w:rsid w:val="00FE03AD"/>
    <w:rsid w:val="00FE2BB4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D7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Ari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2BD7"/>
    <w:pPr>
      <w:suppressAutoHyphens/>
      <w:autoSpaceDN w:val="0"/>
      <w:textAlignment w:val="baseline"/>
    </w:pPr>
    <w:rPr>
      <w:rFonts w:ascii="Liberation Serif" w:eastAsia="新細明體" w:hAnsi="Liberation Serif" w:cs="Arial"/>
      <w:kern w:val="3"/>
      <w:szCs w:val="24"/>
      <w:lang w:bidi="hi-IN"/>
    </w:rPr>
  </w:style>
  <w:style w:type="paragraph" w:customStyle="1" w:styleId="TableContents">
    <w:name w:val="Table Contents"/>
    <w:basedOn w:val="Standard"/>
    <w:rsid w:val="005A2BD7"/>
    <w:pPr>
      <w:suppressLineNumbers/>
    </w:pPr>
  </w:style>
  <w:style w:type="paragraph" w:customStyle="1" w:styleId="A3">
    <w:name w:val="內文 A"/>
    <w:rsid w:val="005A2BD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Cs w:val="24"/>
      <w:u w:color="000000"/>
      <w:bdr w:val="nil"/>
    </w:rPr>
  </w:style>
  <w:style w:type="paragraph" w:styleId="a4">
    <w:name w:val="List Paragraph"/>
    <w:basedOn w:val="a"/>
    <w:link w:val="a5"/>
    <w:qFormat/>
    <w:rsid w:val="003A63F1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5">
    <w:name w:val="清單段落 字元"/>
    <w:link w:val="a4"/>
    <w:uiPriority w:val="34"/>
    <w:locked/>
    <w:rsid w:val="003A63F1"/>
  </w:style>
  <w:style w:type="character" w:styleId="a6">
    <w:name w:val="Hyperlink"/>
    <w:basedOn w:val="a0"/>
    <w:uiPriority w:val="99"/>
    <w:unhideWhenUsed/>
    <w:rsid w:val="003A63F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630C8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2630C8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9">
    <w:name w:val="footer"/>
    <w:basedOn w:val="a"/>
    <w:link w:val="aa"/>
    <w:uiPriority w:val="99"/>
    <w:unhideWhenUsed/>
    <w:rsid w:val="002630C8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a">
    <w:name w:val="頁尾 字元"/>
    <w:basedOn w:val="a0"/>
    <w:link w:val="a9"/>
    <w:uiPriority w:val="99"/>
    <w:rsid w:val="002630C8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table" w:styleId="ab">
    <w:name w:val="Table Grid"/>
    <w:basedOn w:val="a1"/>
    <w:uiPriority w:val="59"/>
    <w:rsid w:val="0033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C18FD"/>
    <w:rPr>
      <w:rFonts w:asciiTheme="majorHAnsi" w:eastAsiaTheme="majorEastAsia" w:hAnsiTheme="majorHAnsi" w:cs="Mangal"/>
      <w:sz w:val="18"/>
      <w:szCs w:val="16"/>
    </w:rPr>
  </w:style>
  <w:style w:type="character" w:customStyle="1" w:styleId="ad">
    <w:name w:val="註解方塊文字 字元"/>
    <w:basedOn w:val="a0"/>
    <w:link w:val="ac"/>
    <w:uiPriority w:val="99"/>
    <w:semiHidden/>
    <w:rsid w:val="00DC18FD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D7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Ari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2BD7"/>
    <w:pPr>
      <w:suppressAutoHyphens/>
      <w:autoSpaceDN w:val="0"/>
      <w:textAlignment w:val="baseline"/>
    </w:pPr>
    <w:rPr>
      <w:rFonts w:ascii="Liberation Serif" w:eastAsia="新細明體" w:hAnsi="Liberation Serif" w:cs="Arial"/>
      <w:kern w:val="3"/>
      <w:szCs w:val="24"/>
      <w:lang w:bidi="hi-IN"/>
    </w:rPr>
  </w:style>
  <w:style w:type="paragraph" w:customStyle="1" w:styleId="TableContents">
    <w:name w:val="Table Contents"/>
    <w:basedOn w:val="Standard"/>
    <w:rsid w:val="005A2BD7"/>
    <w:pPr>
      <w:suppressLineNumbers/>
    </w:pPr>
  </w:style>
  <w:style w:type="paragraph" w:customStyle="1" w:styleId="A3">
    <w:name w:val="內文 A"/>
    <w:rsid w:val="005A2BD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Cs w:val="24"/>
      <w:u w:color="000000"/>
      <w:bdr w:val="nil"/>
    </w:rPr>
  </w:style>
  <w:style w:type="paragraph" w:styleId="a4">
    <w:name w:val="List Paragraph"/>
    <w:basedOn w:val="a"/>
    <w:link w:val="a5"/>
    <w:qFormat/>
    <w:rsid w:val="003A63F1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5">
    <w:name w:val="清單段落 字元"/>
    <w:link w:val="a4"/>
    <w:uiPriority w:val="34"/>
    <w:locked/>
    <w:rsid w:val="003A63F1"/>
  </w:style>
  <w:style w:type="character" w:styleId="a6">
    <w:name w:val="Hyperlink"/>
    <w:basedOn w:val="a0"/>
    <w:uiPriority w:val="99"/>
    <w:unhideWhenUsed/>
    <w:rsid w:val="003A63F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630C8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2630C8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9">
    <w:name w:val="footer"/>
    <w:basedOn w:val="a"/>
    <w:link w:val="aa"/>
    <w:uiPriority w:val="99"/>
    <w:unhideWhenUsed/>
    <w:rsid w:val="002630C8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a">
    <w:name w:val="頁尾 字元"/>
    <w:basedOn w:val="a0"/>
    <w:link w:val="a9"/>
    <w:uiPriority w:val="99"/>
    <w:rsid w:val="002630C8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table" w:styleId="ab">
    <w:name w:val="Table Grid"/>
    <w:basedOn w:val="a1"/>
    <w:uiPriority w:val="59"/>
    <w:rsid w:val="0033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C18FD"/>
    <w:rPr>
      <w:rFonts w:asciiTheme="majorHAnsi" w:eastAsiaTheme="majorEastAsia" w:hAnsiTheme="majorHAnsi" w:cs="Mangal"/>
      <w:sz w:val="18"/>
      <w:szCs w:val="16"/>
    </w:rPr>
  </w:style>
  <w:style w:type="character" w:customStyle="1" w:styleId="ad">
    <w:name w:val="註解方塊文字 字元"/>
    <w:basedOn w:val="a0"/>
    <w:link w:val="ac"/>
    <w:uiPriority w:val="99"/>
    <w:semiHidden/>
    <w:rsid w:val="00DC18FD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D21D-BFBC-4DDF-9A3D-8D4F7EE8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楊靜宜</dc:creator>
  <cp:lastModifiedBy>劉威君</cp:lastModifiedBy>
  <cp:revision>2</cp:revision>
  <cp:lastPrinted>2021-07-08T05:47:00Z</cp:lastPrinted>
  <dcterms:created xsi:type="dcterms:W3CDTF">2021-09-30T09:37:00Z</dcterms:created>
  <dcterms:modified xsi:type="dcterms:W3CDTF">2021-09-30T09:37:00Z</dcterms:modified>
</cp:coreProperties>
</file>