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8300"/>
        <w:gridCol w:w="6"/>
      </w:tblGrid>
      <w:tr w:rsidR="007346C6" w:rsidRPr="007346C6" w:rsidTr="007346C6">
        <w:trPr>
          <w:tblCellSpacing w:w="0" w:type="dxa"/>
        </w:trPr>
        <w:tc>
          <w:tcPr>
            <w:tcW w:w="5000" w:type="pct"/>
            <w:vAlign w:val="center"/>
            <w:hideMark/>
          </w:tcPr>
          <w:p w:rsidR="007346C6" w:rsidRPr="007346C6" w:rsidRDefault="007346C6" w:rsidP="007346C6">
            <w:pPr>
              <w:widowControl/>
              <w:spacing w:line="408" w:lineRule="auto"/>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 xml:space="preserve">公寓大廈管理條例施行細則 </w:t>
            </w:r>
          </w:p>
        </w:tc>
        <w:tc>
          <w:tcPr>
            <w:tcW w:w="0" w:type="auto"/>
            <w:vAlign w:val="center"/>
            <w:hideMark/>
          </w:tcPr>
          <w:p w:rsidR="007346C6" w:rsidRPr="007346C6" w:rsidRDefault="007346C6" w:rsidP="007346C6">
            <w:pPr>
              <w:widowControl/>
              <w:spacing w:line="408" w:lineRule="auto"/>
              <w:rPr>
                <w:rFonts w:ascii="標楷體" w:eastAsia="標楷體" w:hAnsi="標楷體" w:cs="Arial"/>
                <w:color w:val="333333"/>
                <w:spacing w:val="12"/>
                <w:kern w:val="0"/>
                <w:sz w:val="28"/>
                <w:szCs w:val="28"/>
              </w:rPr>
            </w:pPr>
          </w:p>
        </w:tc>
      </w:tr>
    </w:tbl>
    <w:p w:rsidR="007346C6" w:rsidRPr="007346C6" w:rsidRDefault="007346C6" w:rsidP="007346C6">
      <w:pPr>
        <w:widowControl/>
        <w:spacing w:line="408" w:lineRule="auto"/>
        <w:rPr>
          <w:rFonts w:ascii="標楷體" w:eastAsia="標楷體" w:hAnsi="標楷體" w:cs="Arial"/>
          <w:vanish/>
          <w:color w:val="333333"/>
          <w:spacing w:val="12"/>
          <w:kern w:val="0"/>
          <w:sz w:val="28"/>
          <w:szCs w:val="28"/>
        </w:rPr>
      </w:pPr>
    </w:p>
    <w:tbl>
      <w:tblPr>
        <w:tblW w:w="0" w:type="auto"/>
        <w:tblCellSpacing w:w="0" w:type="dxa"/>
        <w:tblCellMar>
          <w:left w:w="0" w:type="dxa"/>
          <w:right w:w="0" w:type="dxa"/>
        </w:tblCellMar>
        <w:tblLook w:val="04A0" w:firstRow="1" w:lastRow="0" w:firstColumn="1" w:lastColumn="0" w:noHBand="0" w:noVBand="1"/>
      </w:tblPr>
      <w:tblGrid>
        <w:gridCol w:w="8306"/>
      </w:tblGrid>
      <w:tr w:rsidR="007346C6" w:rsidRPr="007346C6" w:rsidTr="007346C6">
        <w:trPr>
          <w:tblCellSpacing w:w="0" w:type="dxa"/>
        </w:trPr>
        <w:tc>
          <w:tcPr>
            <w:tcW w:w="0" w:type="auto"/>
            <w:hideMark/>
          </w:tcPr>
          <w:p w:rsidR="007346C6" w:rsidRPr="007346C6" w:rsidRDefault="007346C6" w:rsidP="007346C6">
            <w:pPr>
              <w:widowControl/>
              <w:spacing w:line="408" w:lineRule="auto"/>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 xml:space="preserve">建築管理組 </w:t>
            </w:r>
          </w:p>
          <w:p w:rsidR="007346C6" w:rsidRPr="007346C6" w:rsidRDefault="007346C6" w:rsidP="007346C6">
            <w:pPr>
              <w:widowControl/>
              <w:spacing w:line="408" w:lineRule="auto"/>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 xml:space="preserve">發布日期：2005-11-16 </w:t>
            </w:r>
          </w:p>
        </w:tc>
      </w:tr>
      <w:tr w:rsidR="007346C6" w:rsidRPr="007346C6" w:rsidTr="007346C6">
        <w:trPr>
          <w:tblCellSpacing w:w="0" w:type="dxa"/>
        </w:trPr>
        <w:tc>
          <w:tcPr>
            <w:tcW w:w="0" w:type="auto"/>
            <w:hideMark/>
          </w:tcPr>
          <w:p w:rsidR="007346C6" w:rsidRPr="007346C6" w:rsidRDefault="007346C6" w:rsidP="007346C6">
            <w:pPr>
              <w:widowControl/>
              <w:spacing w:line="408" w:lineRule="auto"/>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內政部85.10.2台內營字第八五八五五四五號令發布</w:t>
            </w:r>
            <w:r w:rsidRPr="007346C6">
              <w:rPr>
                <w:rFonts w:ascii="標楷體" w:eastAsia="標楷體" w:hAnsi="標楷體" w:cs="Arial"/>
                <w:color w:val="333333"/>
                <w:spacing w:val="12"/>
                <w:kern w:val="0"/>
                <w:sz w:val="28"/>
                <w:szCs w:val="28"/>
              </w:rPr>
              <w:br/>
              <w:t xml:space="preserve">內政部94.11.16台內營字第0940011177號令修正   </w:t>
            </w:r>
          </w:p>
          <w:p w:rsidR="007346C6" w:rsidRPr="007346C6" w:rsidRDefault="007346C6" w:rsidP="007346C6">
            <w:pPr>
              <w:widowControl/>
              <w:spacing w:line="408" w:lineRule="auto"/>
              <w:ind w:left="960" w:hanging="96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 xml:space="preserve">第一條　本細則依公寓大廈管理條例（以下簡稱本條例）第六十二條規定訂定之。 </w:t>
            </w:r>
          </w:p>
          <w:p w:rsidR="007346C6" w:rsidRPr="007346C6" w:rsidRDefault="007346C6" w:rsidP="007346C6">
            <w:pPr>
              <w:widowControl/>
              <w:spacing w:line="408" w:lineRule="auto"/>
              <w:ind w:left="960" w:hanging="96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第二條　本條例所稱區分所有權比例，指區分所有權人之專有部分依本條例第五十六條第三項測繪之面積與公寓大廈專有部分全部面積總和之比。建築物已完成登記者，依登記機關之記載為</w:t>
            </w:r>
            <w:proofErr w:type="gramStart"/>
            <w:r w:rsidRPr="007346C6">
              <w:rPr>
                <w:rFonts w:ascii="標楷體" w:eastAsia="標楷體" w:hAnsi="標楷體" w:cs="Arial"/>
                <w:color w:val="333333"/>
                <w:spacing w:val="12"/>
                <w:kern w:val="0"/>
                <w:sz w:val="28"/>
                <w:szCs w:val="28"/>
              </w:rPr>
              <w:t>準</w:t>
            </w:r>
            <w:proofErr w:type="gramEnd"/>
            <w:r w:rsidRPr="007346C6">
              <w:rPr>
                <w:rFonts w:ascii="標楷體" w:eastAsia="標楷體" w:hAnsi="標楷體" w:cs="Arial"/>
                <w:color w:val="333333"/>
                <w:spacing w:val="12"/>
                <w:kern w:val="0"/>
                <w:sz w:val="28"/>
                <w:szCs w:val="28"/>
              </w:rPr>
              <w:t xml:space="preserve">。 </w:t>
            </w:r>
          </w:p>
          <w:p w:rsidR="007346C6" w:rsidRPr="007346C6" w:rsidRDefault="007346C6" w:rsidP="007346C6">
            <w:pPr>
              <w:widowControl/>
              <w:spacing w:line="408" w:lineRule="auto"/>
              <w:ind w:left="96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 xml:space="preserve">同一區分所有權人有數專有部分者，前項區分所有權比例，應予累計。但於計算區分所有權人會議之比例時，應受本條例第二十七條第二項規定之限制。 </w:t>
            </w:r>
          </w:p>
          <w:p w:rsidR="007346C6" w:rsidRPr="007346C6" w:rsidRDefault="007346C6" w:rsidP="007346C6">
            <w:pPr>
              <w:widowControl/>
              <w:spacing w:line="408" w:lineRule="auto"/>
              <w:ind w:left="960" w:hanging="96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 xml:space="preserve">第三條　本條例所定區分所有權人之人數，其計算方式如下： </w:t>
            </w:r>
          </w:p>
          <w:p w:rsidR="007346C6" w:rsidRPr="007346C6" w:rsidRDefault="007346C6" w:rsidP="007346C6">
            <w:pPr>
              <w:widowControl/>
              <w:spacing w:line="408" w:lineRule="auto"/>
              <w:ind w:left="1440" w:hanging="48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一、區分所有權已登記者，按其登記人數計算。但數人共有</w:t>
            </w:r>
            <w:proofErr w:type="gramStart"/>
            <w:r w:rsidRPr="007346C6">
              <w:rPr>
                <w:rFonts w:ascii="標楷體" w:eastAsia="標楷體" w:hAnsi="標楷體" w:cs="Arial"/>
                <w:color w:val="333333"/>
                <w:spacing w:val="12"/>
                <w:kern w:val="0"/>
                <w:sz w:val="28"/>
                <w:szCs w:val="28"/>
              </w:rPr>
              <w:t>一</w:t>
            </w:r>
            <w:proofErr w:type="gramEnd"/>
            <w:r w:rsidRPr="007346C6">
              <w:rPr>
                <w:rFonts w:ascii="標楷體" w:eastAsia="標楷體" w:hAnsi="標楷體" w:cs="Arial"/>
                <w:color w:val="333333"/>
                <w:spacing w:val="12"/>
                <w:kern w:val="0"/>
                <w:sz w:val="28"/>
                <w:szCs w:val="28"/>
              </w:rPr>
              <w:t xml:space="preserve">專有部分者，以一人計。 </w:t>
            </w:r>
          </w:p>
          <w:p w:rsidR="007346C6" w:rsidRPr="007346C6" w:rsidRDefault="007346C6" w:rsidP="007346C6">
            <w:pPr>
              <w:widowControl/>
              <w:spacing w:line="408" w:lineRule="auto"/>
              <w:ind w:left="1440" w:hanging="48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 xml:space="preserve">二、區分所有權未登記者，依本條例第五十六條第一項圖說之標示，每一專有部分以一人計。 </w:t>
            </w:r>
          </w:p>
          <w:p w:rsidR="007346C6" w:rsidRPr="007346C6" w:rsidRDefault="007346C6" w:rsidP="007346C6">
            <w:pPr>
              <w:widowControl/>
              <w:spacing w:line="408" w:lineRule="auto"/>
              <w:ind w:left="960" w:hanging="96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lastRenderedPageBreak/>
              <w:t>第四條　本條例第七條第一款所稱公寓大廈本身所占之地面，指建築物外牆中心線或其</w:t>
            </w:r>
            <w:proofErr w:type="gramStart"/>
            <w:r w:rsidRPr="007346C6">
              <w:rPr>
                <w:rFonts w:ascii="標楷體" w:eastAsia="標楷體" w:hAnsi="標楷體" w:cs="Arial"/>
                <w:color w:val="333333"/>
                <w:spacing w:val="12"/>
                <w:kern w:val="0"/>
                <w:sz w:val="28"/>
                <w:szCs w:val="28"/>
              </w:rPr>
              <w:t>代替柱</w:t>
            </w:r>
            <w:proofErr w:type="gramEnd"/>
            <w:r w:rsidRPr="007346C6">
              <w:rPr>
                <w:rFonts w:ascii="標楷體" w:eastAsia="標楷體" w:hAnsi="標楷體" w:cs="Arial"/>
                <w:color w:val="333333"/>
                <w:spacing w:val="12"/>
                <w:kern w:val="0"/>
                <w:sz w:val="28"/>
                <w:szCs w:val="28"/>
              </w:rPr>
              <w:t>中心線以內之最大水平</w:t>
            </w:r>
            <w:bookmarkStart w:id="0" w:name="_GoBack"/>
            <w:bookmarkEnd w:id="0"/>
            <w:r w:rsidRPr="007346C6">
              <w:rPr>
                <w:rFonts w:ascii="標楷體" w:eastAsia="標楷體" w:hAnsi="標楷體" w:cs="Arial"/>
                <w:color w:val="333333"/>
                <w:spacing w:val="12"/>
                <w:kern w:val="0"/>
                <w:sz w:val="28"/>
                <w:szCs w:val="28"/>
              </w:rPr>
              <w:t xml:space="preserve">投影範圍。 </w:t>
            </w:r>
          </w:p>
          <w:p w:rsidR="007346C6" w:rsidRPr="007346C6" w:rsidRDefault="007346C6" w:rsidP="007346C6">
            <w:pPr>
              <w:widowControl/>
              <w:spacing w:line="408" w:lineRule="auto"/>
              <w:ind w:left="960" w:hanging="96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第五條　本條例第十八條第一項第一款</w:t>
            </w:r>
            <w:proofErr w:type="gramStart"/>
            <w:r w:rsidRPr="007346C6">
              <w:rPr>
                <w:rFonts w:ascii="標楷體" w:eastAsia="標楷體" w:hAnsi="標楷體" w:cs="Arial"/>
                <w:color w:val="333333"/>
                <w:spacing w:val="12"/>
                <w:kern w:val="0"/>
                <w:sz w:val="28"/>
                <w:szCs w:val="28"/>
              </w:rPr>
              <w:t>所定按工程</w:t>
            </w:r>
            <w:proofErr w:type="gramEnd"/>
            <w:r w:rsidRPr="007346C6">
              <w:rPr>
                <w:rFonts w:ascii="標楷體" w:eastAsia="標楷體" w:hAnsi="標楷體" w:cs="Arial"/>
                <w:color w:val="333333"/>
                <w:spacing w:val="12"/>
                <w:kern w:val="0"/>
                <w:sz w:val="28"/>
                <w:szCs w:val="28"/>
              </w:rPr>
              <w:t xml:space="preserve">造價一定比例或金額提列公共基金，依下列標準計算之： </w:t>
            </w:r>
          </w:p>
          <w:p w:rsidR="007346C6" w:rsidRPr="007346C6" w:rsidRDefault="007346C6" w:rsidP="007346C6">
            <w:pPr>
              <w:widowControl/>
              <w:spacing w:line="408" w:lineRule="auto"/>
              <w:ind w:left="1440" w:hanging="48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 xml:space="preserve">一、新臺幣一千萬元以下者為千分之二十。 </w:t>
            </w:r>
          </w:p>
          <w:p w:rsidR="007346C6" w:rsidRPr="007346C6" w:rsidRDefault="007346C6" w:rsidP="007346C6">
            <w:pPr>
              <w:widowControl/>
              <w:spacing w:line="408" w:lineRule="auto"/>
              <w:ind w:left="1440" w:hanging="48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二、</w:t>
            </w:r>
            <w:proofErr w:type="gramStart"/>
            <w:r w:rsidRPr="007346C6">
              <w:rPr>
                <w:rFonts w:ascii="標楷體" w:eastAsia="標楷體" w:hAnsi="標楷體" w:cs="Arial"/>
                <w:color w:val="333333"/>
                <w:spacing w:val="12"/>
                <w:kern w:val="0"/>
                <w:sz w:val="28"/>
                <w:szCs w:val="28"/>
              </w:rPr>
              <w:t>逾新臺幣</w:t>
            </w:r>
            <w:proofErr w:type="gramEnd"/>
            <w:r w:rsidRPr="007346C6">
              <w:rPr>
                <w:rFonts w:ascii="標楷體" w:eastAsia="標楷體" w:hAnsi="標楷體" w:cs="Arial"/>
                <w:color w:val="333333"/>
                <w:spacing w:val="12"/>
                <w:kern w:val="0"/>
                <w:sz w:val="28"/>
                <w:szCs w:val="28"/>
              </w:rPr>
              <w:t xml:space="preserve">一千萬元至新臺幣一億元者，超過新臺幣一千萬元部分為千分之十五。 </w:t>
            </w:r>
          </w:p>
          <w:p w:rsidR="007346C6" w:rsidRPr="007346C6" w:rsidRDefault="007346C6" w:rsidP="007346C6">
            <w:pPr>
              <w:widowControl/>
              <w:spacing w:line="408" w:lineRule="auto"/>
              <w:ind w:left="1440" w:hanging="48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三、</w:t>
            </w:r>
            <w:proofErr w:type="gramStart"/>
            <w:r w:rsidRPr="007346C6">
              <w:rPr>
                <w:rFonts w:ascii="標楷體" w:eastAsia="標楷體" w:hAnsi="標楷體" w:cs="Arial"/>
                <w:color w:val="333333"/>
                <w:spacing w:val="12"/>
                <w:kern w:val="0"/>
                <w:sz w:val="28"/>
                <w:szCs w:val="28"/>
              </w:rPr>
              <w:t>逾新臺幣</w:t>
            </w:r>
            <w:proofErr w:type="gramEnd"/>
            <w:r w:rsidRPr="007346C6">
              <w:rPr>
                <w:rFonts w:ascii="標楷體" w:eastAsia="標楷體" w:hAnsi="標楷體" w:cs="Arial"/>
                <w:color w:val="333333"/>
                <w:spacing w:val="12"/>
                <w:kern w:val="0"/>
                <w:sz w:val="28"/>
                <w:szCs w:val="28"/>
              </w:rPr>
              <w:t xml:space="preserve">一億元至新臺幣十億元者，超過新臺幣一億元部分為千分之五。 </w:t>
            </w:r>
          </w:p>
          <w:p w:rsidR="007346C6" w:rsidRPr="007346C6" w:rsidRDefault="007346C6" w:rsidP="007346C6">
            <w:pPr>
              <w:widowControl/>
              <w:spacing w:line="408" w:lineRule="auto"/>
              <w:ind w:left="1440" w:hanging="48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四、</w:t>
            </w:r>
            <w:proofErr w:type="gramStart"/>
            <w:r w:rsidRPr="007346C6">
              <w:rPr>
                <w:rFonts w:ascii="標楷體" w:eastAsia="標楷體" w:hAnsi="標楷體" w:cs="Arial"/>
                <w:color w:val="333333"/>
                <w:spacing w:val="12"/>
                <w:kern w:val="0"/>
                <w:sz w:val="28"/>
                <w:szCs w:val="28"/>
              </w:rPr>
              <w:t>逾新臺幣</w:t>
            </w:r>
            <w:proofErr w:type="gramEnd"/>
            <w:r w:rsidRPr="007346C6">
              <w:rPr>
                <w:rFonts w:ascii="標楷體" w:eastAsia="標楷體" w:hAnsi="標楷體" w:cs="Arial"/>
                <w:color w:val="333333"/>
                <w:spacing w:val="12"/>
                <w:kern w:val="0"/>
                <w:sz w:val="28"/>
                <w:szCs w:val="28"/>
              </w:rPr>
              <w:t xml:space="preserve">十億元者，超過新臺幣十億元部分為千分之三。 </w:t>
            </w:r>
          </w:p>
          <w:p w:rsidR="007346C6" w:rsidRPr="007346C6" w:rsidRDefault="007346C6" w:rsidP="007346C6">
            <w:pPr>
              <w:widowControl/>
              <w:spacing w:line="408" w:lineRule="auto"/>
              <w:ind w:left="96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 xml:space="preserve">前項工程造價，指經直轄市、縣（市）主管建築機關核發建造執照載明之工程造價。 </w:t>
            </w:r>
          </w:p>
          <w:p w:rsidR="007346C6" w:rsidRPr="007346C6" w:rsidRDefault="007346C6" w:rsidP="007346C6">
            <w:pPr>
              <w:widowControl/>
              <w:spacing w:line="408" w:lineRule="auto"/>
              <w:ind w:left="96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 xml:space="preserve">政府興建住宅之公共基金，其他法規有特別規定者，依其規定。 </w:t>
            </w:r>
          </w:p>
          <w:p w:rsidR="007346C6" w:rsidRPr="007346C6" w:rsidRDefault="007346C6" w:rsidP="007346C6">
            <w:pPr>
              <w:widowControl/>
              <w:spacing w:line="408" w:lineRule="auto"/>
              <w:ind w:left="960" w:hanging="96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第六條　本條例第二十二條第一項第一款所稱區分所有權總價，指管理負責人或管理委員會促請該區分所有權人或住戶改善時，建築物之評定標準價格及當期土地公告現</w:t>
            </w:r>
            <w:r w:rsidRPr="007346C6">
              <w:rPr>
                <w:rFonts w:ascii="標楷體" w:eastAsia="標楷體" w:hAnsi="標楷體" w:cs="Arial"/>
                <w:color w:val="333333"/>
                <w:spacing w:val="12"/>
                <w:kern w:val="0"/>
                <w:sz w:val="28"/>
                <w:szCs w:val="28"/>
              </w:rPr>
              <w:lastRenderedPageBreak/>
              <w:t>值之</w:t>
            </w:r>
            <w:proofErr w:type="gramStart"/>
            <w:r w:rsidRPr="007346C6">
              <w:rPr>
                <w:rFonts w:ascii="標楷體" w:eastAsia="標楷體" w:hAnsi="標楷體" w:cs="Arial"/>
                <w:color w:val="333333"/>
                <w:spacing w:val="12"/>
                <w:kern w:val="0"/>
                <w:sz w:val="28"/>
                <w:szCs w:val="28"/>
              </w:rPr>
              <w:t>和</w:t>
            </w:r>
            <w:proofErr w:type="gramEnd"/>
            <w:r w:rsidRPr="007346C6">
              <w:rPr>
                <w:rFonts w:ascii="標楷體" w:eastAsia="標楷體" w:hAnsi="標楷體" w:cs="Arial"/>
                <w:color w:val="333333"/>
                <w:spacing w:val="12"/>
                <w:kern w:val="0"/>
                <w:sz w:val="28"/>
                <w:szCs w:val="28"/>
              </w:rPr>
              <w:t xml:space="preserve">。 </w:t>
            </w:r>
          </w:p>
          <w:p w:rsidR="007346C6" w:rsidRPr="007346C6" w:rsidRDefault="007346C6" w:rsidP="007346C6">
            <w:pPr>
              <w:widowControl/>
              <w:spacing w:line="408" w:lineRule="auto"/>
              <w:ind w:left="960" w:hanging="96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第七條　本條例第二十五條第三項所定由區分所有權人互推</w:t>
            </w:r>
            <w:proofErr w:type="gramStart"/>
            <w:r w:rsidRPr="007346C6">
              <w:rPr>
                <w:rFonts w:ascii="標楷體" w:eastAsia="標楷體" w:hAnsi="標楷體" w:cs="Arial"/>
                <w:color w:val="333333"/>
                <w:spacing w:val="12"/>
                <w:kern w:val="0"/>
                <w:sz w:val="28"/>
                <w:szCs w:val="28"/>
              </w:rPr>
              <w:t>一</w:t>
            </w:r>
            <w:proofErr w:type="gramEnd"/>
            <w:r w:rsidRPr="007346C6">
              <w:rPr>
                <w:rFonts w:ascii="標楷體" w:eastAsia="標楷體" w:hAnsi="標楷體" w:cs="Arial"/>
                <w:color w:val="333333"/>
                <w:spacing w:val="12"/>
                <w:kern w:val="0"/>
                <w:sz w:val="28"/>
                <w:szCs w:val="28"/>
              </w:rPr>
              <w:t xml:space="preserve">人為召集人，除規約另有規定者外，應有區分所有權人二人以上書面推選，經公告十日後生效。 </w:t>
            </w:r>
          </w:p>
          <w:p w:rsidR="007346C6" w:rsidRPr="007346C6" w:rsidRDefault="007346C6" w:rsidP="007346C6">
            <w:pPr>
              <w:widowControl/>
              <w:spacing w:line="408" w:lineRule="auto"/>
              <w:ind w:left="96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前項被推選人為數人或公告期間另有他人被推選時，以推選之區分所有權人人數較多者任之；人數相同時，以區分所有權比例合計較多者任之。</w:t>
            </w:r>
            <w:proofErr w:type="gramStart"/>
            <w:r w:rsidRPr="007346C6">
              <w:rPr>
                <w:rFonts w:ascii="標楷體" w:eastAsia="標楷體" w:hAnsi="標楷體" w:cs="Arial"/>
                <w:color w:val="333333"/>
                <w:spacing w:val="12"/>
                <w:kern w:val="0"/>
                <w:sz w:val="28"/>
                <w:szCs w:val="28"/>
              </w:rPr>
              <w:t>新被推選</w:t>
            </w:r>
            <w:proofErr w:type="gramEnd"/>
            <w:r w:rsidRPr="007346C6">
              <w:rPr>
                <w:rFonts w:ascii="標楷體" w:eastAsia="標楷體" w:hAnsi="標楷體" w:cs="Arial"/>
                <w:color w:val="333333"/>
                <w:spacing w:val="12"/>
                <w:kern w:val="0"/>
                <w:sz w:val="28"/>
                <w:szCs w:val="28"/>
              </w:rPr>
              <w:t xml:space="preserve">人與原被推選人不為同一人時，公告日數應自新被推選人被推選之次日起算。 </w:t>
            </w:r>
          </w:p>
          <w:p w:rsidR="007346C6" w:rsidRPr="007346C6" w:rsidRDefault="007346C6" w:rsidP="007346C6">
            <w:pPr>
              <w:widowControl/>
              <w:spacing w:line="408" w:lineRule="auto"/>
              <w:ind w:left="96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 xml:space="preserve">前二項之推選人於推選後喪失區分所有權人資格時，除受讓人另為意思表示者外，其所為之推選行為仍為有效。 </w:t>
            </w:r>
          </w:p>
          <w:p w:rsidR="007346C6" w:rsidRPr="007346C6" w:rsidRDefault="007346C6" w:rsidP="007346C6">
            <w:pPr>
              <w:widowControl/>
              <w:spacing w:line="408" w:lineRule="auto"/>
              <w:ind w:left="96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區分所有權人推選管理負責人時，</w:t>
            </w:r>
            <w:proofErr w:type="gramStart"/>
            <w:r w:rsidRPr="007346C6">
              <w:rPr>
                <w:rFonts w:ascii="標楷體" w:eastAsia="標楷體" w:hAnsi="標楷體" w:cs="Arial"/>
                <w:color w:val="333333"/>
                <w:spacing w:val="12"/>
                <w:kern w:val="0"/>
                <w:sz w:val="28"/>
                <w:szCs w:val="28"/>
              </w:rPr>
              <w:t>準</w:t>
            </w:r>
            <w:proofErr w:type="gramEnd"/>
            <w:r w:rsidRPr="007346C6">
              <w:rPr>
                <w:rFonts w:ascii="標楷體" w:eastAsia="標楷體" w:hAnsi="標楷體" w:cs="Arial"/>
                <w:color w:val="333333"/>
                <w:spacing w:val="12"/>
                <w:kern w:val="0"/>
                <w:sz w:val="28"/>
                <w:szCs w:val="28"/>
              </w:rPr>
              <w:t xml:space="preserve">用前三項規定。 </w:t>
            </w:r>
          </w:p>
          <w:p w:rsidR="007346C6" w:rsidRPr="007346C6" w:rsidRDefault="007346C6" w:rsidP="007346C6">
            <w:pPr>
              <w:widowControl/>
              <w:spacing w:line="408" w:lineRule="auto"/>
              <w:ind w:left="960" w:hanging="96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 xml:space="preserve">第八條　本條例第二十六條第一項、第二十八條第一項及第五十五條第一項所定報備之資料如下： </w:t>
            </w:r>
          </w:p>
          <w:p w:rsidR="007346C6" w:rsidRPr="007346C6" w:rsidRDefault="007346C6" w:rsidP="007346C6">
            <w:pPr>
              <w:widowControl/>
              <w:spacing w:line="408" w:lineRule="auto"/>
              <w:ind w:left="1440" w:hanging="48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 xml:space="preserve">一、成立管理委員會或推選管理負責人時之全體區分所有權人名冊及出席區分所有權人名冊。 </w:t>
            </w:r>
          </w:p>
          <w:p w:rsidR="007346C6" w:rsidRPr="007346C6" w:rsidRDefault="007346C6" w:rsidP="007346C6">
            <w:pPr>
              <w:widowControl/>
              <w:spacing w:line="408" w:lineRule="auto"/>
              <w:ind w:left="1440" w:hanging="48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二、成立管理委員會或推選管理負責人時之區分所有權人</w:t>
            </w:r>
            <w:proofErr w:type="gramStart"/>
            <w:r w:rsidRPr="007346C6">
              <w:rPr>
                <w:rFonts w:ascii="標楷體" w:eastAsia="標楷體" w:hAnsi="標楷體" w:cs="Arial"/>
                <w:color w:val="333333"/>
                <w:spacing w:val="12"/>
                <w:kern w:val="0"/>
                <w:sz w:val="28"/>
                <w:szCs w:val="28"/>
              </w:rPr>
              <w:t>會議會議</w:t>
            </w:r>
            <w:proofErr w:type="gramEnd"/>
            <w:r w:rsidRPr="007346C6">
              <w:rPr>
                <w:rFonts w:ascii="標楷體" w:eastAsia="標楷體" w:hAnsi="標楷體" w:cs="Arial"/>
                <w:color w:val="333333"/>
                <w:spacing w:val="12"/>
                <w:kern w:val="0"/>
                <w:sz w:val="28"/>
                <w:szCs w:val="28"/>
              </w:rPr>
              <w:t xml:space="preserve">紀錄或推選書或其他證明文件。 </w:t>
            </w:r>
          </w:p>
          <w:p w:rsidR="007346C6" w:rsidRPr="007346C6" w:rsidRDefault="007346C6" w:rsidP="007346C6">
            <w:pPr>
              <w:widowControl/>
              <w:spacing w:line="408" w:lineRule="auto"/>
              <w:ind w:left="96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直轄市、縣（市）主管機關受理前項報備資料，應予建</w:t>
            </w:r>
            <w:r w:rsidRPr="007346C6">
              <w:rPr>
                <w:rFonts w:ascii="標楷體" w:eastAsia="標楷體" w:hAnsi="標楷體" w:cs="Arial"/>
                <w:color w:val="333333"/>
                <w:spacing w:val="12"/>
                <w:kern w:val="0"/>
                <w:sz w:val="28"/>
                <w:szCs w:val="28"/>
              </w:rPr>
              <w:lastRenderedPageBreak/>
              <w:t xml:space="preserve">檔。 </w:t>
            </w:r>
          </w:p>
          <w:p w:rsidR="007346C6" w:rsidRPr="007346C6" w:rsidRDefault="007346C6" w:rsidP="007346C6">
            <w:pPr>
              <w:widowControl/>
              <w:spacing w:line="408" w:lineRule="auto"/>
              <w:ind w:left="960" w:hanging="96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第九條　本條例第三十三條第二款所定無線電臺基地</w:t>
            </w:r>
            <w:proofErr w:type="gramStart"/>
            <w:r w:rsidRPr="007346C6">
              <w:rPr>
                <w:rFonts w:ascii="標楷體" w:eastAsia="標楷體" w:hAnsi="標楷體" w:cs="Arial"/>
                <w:color w:val="333333"/>
                <w:spacing w:val="12"/>
                <w:kern w:val="0"/>
                <w:sz w:val="28"/>
                <w:szCs w:val="28"/>
              </w:rPr>
              <w:t>臺</w:t>
            </w:r>
            <w:proofErr w:type="gramEnd"/>
            <w:r w:rsidRPr="007346C6">
              <w:rPr>
                <w:rFonts w:ascii="標楷體" w:eastAsia="標楷體" w:hAnsi="標楷體" w:cs="Arial"/>
                <w:color w:val="333333"/>
                <w:spacing w:val="12"/>
                <w:kern w:val="0"/>
                <w:sz w:val="28"/>
                <w:szCs w:val="28"/>
              </w:rPr>
              <w:t>等類似強波發射設備，由無線電臺基地</w:t>
            </w:r>
            <w:proofErr w:type="gramStart"/>
            <w:r w:rsidRPr="007346C6">
              <w:rPr>
                <w:rFonts w:ascii="標楷體" w:eastAsia="標楷體" w:hAnsi="標楷體" w:cs="Arial"/>
                <w:color w:val="333333"/>
                <w:spacing w:val="12"/>
                <w:kern w:val="0"/>
                <w:sz w:val="28"/>
                <w:szCs w:val="28"/>
              </w:rPr>
              <w:t>臺</w:t>
            </w:r>
            <w:proofErr w:type="gramEnd"/>
            <w:r w:rsidRPr="007346C6">
              <w:rPr>
                <w:rFonts w:ascii="標楷體" w:eastAsia="標楷體" w:hAnsi="標楷體" w:cs="Arial"/>
                <w:color w:val="333333"/>
                <w:spacing w:val="12"/>
                <w:kern w:val="0"/>
                <w:sz w:val="28"/>
                <w:szCs w:val="28"/>
              </w:rPr>
              <w:t xml:space="preserve">之目的事業主管機關認定之。 </w:t>
            </w:r>
          </w:p>
          <w:p w:rsidR="007346C6" w:rsidRPr="007346C6" w:rsidRDefault="007346C6" w:rsidP="007346C6">
            <w:pPr>
              <w:widowControl/>
              <w:spacing w:line="408" w:lineRule="auto"/>
              <w:ind w:left="960" w:hanging="96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第十條　本條例第二十六條第一項第四款、第三十五條及第三十六條第八款所稱會計憑證，指證明會計事項之原始憑證；會計帳簿，指日記帳及總</w:t>
            </w:r>
            <w:proofErr w:type="gramStart"/>
            <w:r w:rsidRPr="007346C6">
              <w:rPr>
                <w:rFonts w:ascii="標楷體" w:eastAsia="標楷體" w:hAnsi="標楷體" w:cs="Arial"/>
                <w:color w:val="333333"/>
                <w:spacing w:val="12"/>
                <w:kern w:val="0"/>
                <w:sz w:val="28"/>
                <w:szCs w:val="28"/>
              </w:rPr>
              <w:t>分類帳</w:t>
            </w:r>
            <w:proofErr w:type="gramEnd"/>
            <w:r w:rsidRPr="007346C6">
              <w:rPr>
                <w:rFonts w:ascii="標楷體" w:eastAsia="標楷體" w:hAnsi="標楷體" w:cs="Arial"/>
                <w:color w:val="333333"/>
                <w:spacing w:val="12"/>
                <w:kern w:val="0"/>
                <w:sz w:val="28"/>
                <w:szCs w:val="28"/>
              </w:rPr>
              <w:t xml:space="preserve">；財務報表，指公共基金之現金收支表及管理維護費之現金收支表及財產目錄、費用及應收未收款明細。 </w:t>
            </w:r>
          </w:p>
          <w:p w:rsidR="007346C6" w:rsidRPr="007346C6" w:rsidRDefault="007346C6" w:rsidP="007346C6">
            <w:pPr>
              <w:widowControl/>
              <w:spacing w:line="408" w:lineRule="auto"/>
              <w:ind w:left="1200" w:hanging="120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 xml:space="preserve">第十一條　本條例第三十六條所定管理委員會之職務，除第七款至第九款、第十一款及第十二款外，經管理委員會決議或管理負責人以書面授權者，得由管理服務人執行之。但區分所有權人會議或規約另有規定者，從其規定。 </w:t>
            </w:r>
          </w:p>
          <w:p w:rsidR="007346C6" w:rsidRPr="007346C6" w:rsidRDefault="007346C6" w:rsidP="007346C6">
            <w:pPr>
              <w:widowControl/>
              <w:spacing w:line="408" w:lineRule="auto"/>
              <w:ind w:left="1200" w:hanging="120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第十二條　本條例第五十三條所定其共同設施之使用與管理具有整體</w:t>
            </w:r>
            <w:proofErr w:type="gramStart"/>
            <w:r w:rsidRPr="007346C6">
              <w:rPr>
                <w:rFonts w:ascii="標楷體" w:eastAsia="標楷體" w:hAnsi="標楷體" w:cs="Arial"/>
                <w:color w:val="333333"/>
                <w:spacing w:val="12"/>
                <w:kern w:val="0"/>
                <w:sz w:val="28"/>
                <w:szCs w:val="28"/>
              </w:rPr>
              <w:t>不可分性之</w:t>
            </w:r>
            <w:proofErr w:type="gramEnd"/>
            <w:r w:rsidRPr="007346C6">
              <w:rPr>
                <w:rFonts w:ascii="標楷體" w:eastAsia="標楷體" w:hAnsi="標楷體" w:cs="Arial"/>
                <w:color w:val="333333"/>
                <w:spacing w:val="12"/>
                <w:kern w:val="0"/>
                <w:sz w:val="28"/>
                <w:szCs w:val="28"/>
              </w:rPr>
              <w:t>集居地區，指下列情形之</w:t>
            </w:r>
            <w:proofErr w:type="gramStart"/>
            <w:r w:rsidRPr="007346C6">
              <w:rPr>
                <w:rFonts w:ascii="標楷體" w:eastAsia="標楷體" w:hAnsi="標楷體" w:cs="Arial"/>
                <w:color w:val="333333"/>
                <w:spacing w:val="12"/>
                <w:kern w:val="0"/>
                <w:sz w:val="28"/>
                <w:szCs w:val="28"/>
              </w:rPr>
              <w:t>一</w:t>
            </w:r>
            <w:proofErr w:type="gramEnd"/>
            <w:r w:rsidRPr="007346C6">
              <w:rPr>
                <w:rFonts w:ascii="標楷體" w:eastAsia="標楷體" w:hAnsi="標楷體" w:cs="Arial"/>
                <w:color w:val="333333"/>
                <w:spacing w:val="12"/>
                <w:kern w:val="0"/>
                <w:sz w:val="28"/>
                <w:szCs w:val="28"/>
              </w:rPr>
              <w:t xml:space="preserve">： </w:t>
            </w:r>
          </w:p>
          <w:p w:rsidR="007346C6" w:rsidRPr="007346C6" w:rsidRDefault="007346C6" w:rsidP="007346C6">
            <w:pPr>
              <w:widowControl/>
              <w:spacing w:line="408" w:lineRule="auto"/>
              <w:ind w:left="1680" w:hanging="48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 xml:space="preserve">一、依建築法第十一條規定之一宗建築基地。 </w:t>
            </w:r>
          </w:p>
          <w:p w:rsidR="007346C6" w:rsidRPr="007346C6" w:rsidRDefault="007346C6" w:rsidP="007346C6">
            <w:pPr>
              <w:widowControl/>
              <w:spacing w:line="408" w:lineRule="auto"/>
              <w:ind w:left="1680" w:hanging="48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二、依非都市土地使用管制規則及中華民國九十二年三月二十六日修正施行前山坡地開發建築管理辦</w:t>
            </w:r>
            <w:r w:rsidRPr="007346C6">
              <w:rPr>
                <w:rFonts w:ascii="標楷體" w:eastAsia="標楷體" w:hAnsi="標楷體" w:cs="Arial"/>
                <w:color w:val="333333"/>
                <w:spacing w:val="12"/>
                <w:kern w:val="0"/>
                <w:sz w:val="28"/>
                <w:szCs w:val="28"/>
              </w:rPr>
              <w:lastRenderedPageBreak/>
              <w:t xml:space="preserve">法申請開發許可範圍內之地區。 </w:t>
            </w:r>
          </w:p>
          <w:p w:rsidR="007346C6" w:rsidRPr="007346C6" w:rsidRDefault="007346C6" w:rsidP="007346C6">
            <w:pPr>
              <w:widowControl/>
              <w:spacing w:line="408" w:lineRule="auto"/>
              <w:ind w:left="1680" w:hanging="48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 xml:space="preserve">三、其他經直轄市、縣（市）主管機關認定其共同設施之使用與管理具有整體不可分割之地區。 </w:t>
            </w:r>
          </w:p>
          <w:p w:rsidR="007346C6" w:rsidRPr="007346C6" w:rsidRDefault="007346C6" w:rsidP="007346C6">
            <w:pPr>
              <w:widowControl/>
              <w:spacing w:line="408" w:lineRule="auto"/>
              <w:ind w:left="1200" w:hanging="120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 xml:space="preserve">第十三條　本條例所定之公告，應於公寓大廈公告欄內為之；未設公告欄者，應於主要出入口明顯處所為之。 </w:t>
            </w:r>
          </w:p>
          <w:p w:rsidR="007346C6" w:rsidRPr="007346C6" w:rsidRDefault="007346C6" w:rsidP="007346C6">
            <w:pPr>
              <w:widowControl/>
              <w:spacing w:line="408" w:lineRule="auto"/>
              <w:ind w:left="1200" w:hanging="1200"/>
              <w:rPr>
                <w:rFonts w:ascii="標楷體" w:eastAsia="標楷體" w:hAnsi="標楷體" w:cs="Arial"/>
                <w:color w:val="333333"/>
                <w:spacing w:val="12"/>
                <w:kern w:val="0"/>
                <w:sz w:val="28"/>
                <w:szCs w:val="28"/>
              </w:rPr>
            </w:pPr>
            <w:r w:rsidRPr="007346C6">
              <w:rPr>
                <w:rFonts w:ascii="標楷體" w:eastAsia="標楷體" w:hAnsi="標楷體" w:cs="Arial"/>
                <w:color w:val="333333"/>
                <w:spacing w:val="12"/>
                <w:kern w:val="0"/>
                <w:sz w:val="28"/>
                <w:szCs w:val="28"/>
              </w:rPr>
              <w:t xml:space="preserve">第十四條　本細則自發布日施行。 </w:t>
            </w:r>
          </w:p>
          <w:tbl>
            <w:tblPr>
              <w:tblW w:w="5000" w:type="pct"/>
              <w:tblCellSpacing w:w="0" w:type="dxa"/>
              <w:tblCellMar>
                <w:left w:w="0" w:type="dxa"/>
                <w:right w:w="0" w:type="dxa"/>
              </w:tblCellMar>
              <w:tblLook w:val="04A0" w:firstRow="1" w:lastRow="0" w:firstColumn="1" w:lastColumn="0" w:noHBand="0" w:noVBand="1"/>
            </w:tblPr>
            <w:tblGrid>
              <w:gridCol w:w="8306"/>
            </w:tblGrid>
            <w:tr w:rsidR="007346C6" w:rsidRPr="007346C6" w:rsidTr="007346C6">
              <w:trPr>
                <w:tblCellSpacing w:w="0" w:type="dxa"/>
              </w:trPr>
              <w:tc>
                <w:tcPr>
                  <w:tcW w:w="0" w:type="auto"/>
                  <w:vAlign w:val="center"/>
                  <w:hideMark/>
                </w:tcPr>
                <w:p w:rsidR="007346C6" w:rsidRPr="007346C6" w:rsidRDefault="007346C6" w:rsidP="007346C6">
                  <w:pPr>
                    <w:widowControl/>
                    <w:spacing w:line="408" w:lineRule="auto"/>
                    <w:rPr>
                      <w:rFonts w:ascii="標楷體" w:eastAsia="標楷體" w:hAnsi="標楷體" w:cs="Arial"/>
                      <w:color w:val="333333"/>
                      <w:spacing w:val="12"/>
                      <w:kern w:val="0"/>
                      <w:sz w:val="28"/>
                      <w:szCs w:val="28"/>
                    </w:rPr>
                  </w:pPr>
                </w:p>
              </w:tc>
            </w:tr>
          </w:tbl>
          <w:p w:rsidR="007346C6" w:rsidRPr="007346C6" w:rsidRDefault="007346C6" w:rsidP="007346C6">
            <w:pPr>
              <w:widowControl/>
              <w:spacing w:line="408" w:lineRule="auto"/>
              <w:rPr>
                <w:rFonts w:ascii="標楷體" w:eastAsia="標楷體" w:hAnsi="標楷體" w:cs="Arial"/>
                <w:color w:val="333333"/>
                <w:spacing w:val="12"/>
                <w:kern w:val="0"/>
                <w:sz w:val="28"/>
                <w:szCs w:val="28"/>
              </w:rPr>
            </w:pPr>
          </w:p>
        </w:tc>
      </w:tr>
    </w:tbl>
    <w:p w:rsidR="00CE3D36" w:rsidRPr="007346C6" w:rsidRDefault="00CE3D36" w:rsidP="007346C6">
      <w:pPr>
        <w:rPr>
          <w:rFonts w:ascii="標楷體" w:eastAsia="標楷體" w:hAnsi="標楷體"/>
          <w:sz w:val="28"/>
          <w:szCs w:val="28"/>
        </w:rPr>
      </w:pPr>
    </w:p>
    <w:sectPr w:rsidR="00CE3D36" w:rsidRPr="007346C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C6"/>
    <w:rsid w:val="007346C6"/>
    <w:rsid w:val="00CE3D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06838">
      <w:bodyDiv w:val="1"/>
      <w:marLeft w:val="0"/>
      <w:marRight w:val="0"/>
      <w:marTop w:val="0"/>
      <w:marBottom w:val="0"/>
      <w:divBdr>
        <w:top w:val="none" w:sz="0" w:space="0" w:color="auto"/>
        <w:left w:val="none" w:sz="0" w:space="0" w:color="auto"/>
        <w:bottom w:val="none" w:sz="0" w:space="0" w:color="auto"/>
        <w:right w:val="none" w:sz="0" w:space="0" w:color="auto"/>
      </w:divBdr>
      <w:divsChild>
        <w:div w:id="1081566859">
          <w:marLeft w:val="0"/>
          <w:marRight w:val="0"/>
          <w:marTop w:val="0"/>
          <w:marBottom w:val="0"/>
          <w:divBdr>
            <w:top w:val="none" w:sz="0" w:space="0" w:color="auto"/>
            <w:left w:val="none" w:sz="0" w:space="0" w:color="auto"/>
            <w:bottom w:val="none" w:sz="0" w:space="0" w:color="auto"/>
            <w:right w:val="none" w:sz="0" w:space="0" w:color="auto"/>
          </w:divBdr>
          <w:divsChild>
            <w:div w:id="1480881999">
              <w:marLeft w:val="0"/>
              <w:marRight w:val="0"/>
              <w:marTop w:val="0"/>
              <w:marBottom w:val="0"/>
              <w:divBdr>
                <w:top w:val="none" w:sz="0" w:space="0" w:color="auto"/>
                <w:left w:val="none" w:sz="0" w:space="0" w:color="auto"/>
                <w:bottom w:val="none" w:sz="0" w:space="0" w:color="auto"/>
                <w:right w:val="none" w:sz="0" w:space="0" w:color="auto"/>
              </w:divBdr>
              <w:divsChild>
                <w:div w:id="1800219980">
                  <w:marLeft w:val="0"/>
                  <w:marRight w:val="0"/>
                  <w:marTop w:val="0"/>
                  <w:marBottom w:val="0"/>
                  <w:divBdr>
                    <w:top w:val="none" w:sz="0" w:space="0" w:color="auto"/>
                    <w:left w:val="none" w:sz="0" w:space="0" w:color="auto"/>
                    <w:bottom w:val="none" w:sz="0" w:space="0" w:color="auto"/>
                    <w:right w:val="none" w:sz="0" w:space="0" w:color="auto"/>
                  </w:divBdr>
                  <w:divsChild>
                    <w:div w:id="655843533">
                      <w:marLeft w:val="0"/>
                      <w:marRight w:val="0"/>
                      <w:marTop w:val="0"/>
                      <w:marBottom w:val="300"/>
                      <w:divBdr>
                        <w:top w:val="none" w:sz="0" w:space="0" w:color="auto"/>
                        <w:left w:val="none" w:sz="0" w:space="0" w:color="auto"/>
                        <w:bottom w:val="none" w:sz="0" w:space="0" w:color="auto"/>
                        <w:right w:val="none" w:sz="0" w:space="0" w:color="auto"/>
                      </w:divBdr>
                      <w:divsChild>
                        <w:div w:id="75135773">
                          <w:marLeft w:val="0"/>
                          <w:marRight w:val="0"/>
                          <w:marTop w:val="0"/>
                          <w:marBottom w:val="0"/>
                          <w:divBdr>
                            <w:top w:val="none" w:sz="0" w:space="0" w:color="auto"/>
                            <w:left w:val="none" w:sz="0" w:space="0" w:color="auto"/>
                            <w:bottom w:val="none" w:sz="0" w:space="0" w:color="auto"/>
                            <w:right w:val="none" w:sz="0" w:space="0" w:color="auto"/>
                          </w:divBdr>
                          <w:divsChild>
                            <w:div w:id="440415199">
                              <w:marLeft w:val="0"/>
                              <w:marRight w:val="0"/>
                              <w:marTop w:val="0"/>
                              <w:marBottom w:val="0"/>
                              <w:divBdr>
                                <w:top w:val="none" w:sz="0" w:space="0" w:color="auto"/>
                                <w:left w:val="none" w:sz="0" w:space="0" w:color="auto"/>
                                <w:bottom w:val="none" w:sz="0" w:space="0" w:color="auto"/>
                                <w:right w:val="none" w:sz="0" w:space="0" w:color="auto"/>
                              </w:divBdr>
                              <w:divsChild>
                                <w:div w:id="393241504">
                                  <w:marLeft w:val="0"/>
                                  <w:marRight w:val="0"/>
                                  <w:marTop w:val="0"/>
                                  <w:marBottom w:val="0"/>
                                  <w:divBdr>
                                    <w:top w:val="none" w:sz="0" w:space="0" w:color="auto"/>
                                    <w:left w:val="none" w:sz="0" w:space="0" w:color="auto"/>
                                    <w:bottom w:val="none" w:sz="0" w:space="0" w:color="auto"/>
                                    <w:right w:val="none" w:sz="0" w:space="0" w:color="auto"/>
                                  </w:divBdr>
                                  <w:divsChild>
                                    <w:div w:id="1451391652">
                                      <w:marLeft w:val="0"/>
                                      <w:marRight w:val="0"/>
                                      <w:marTop w:val="0"/>
                                      <w:marBottom w:val="0"/>
                                      <w:divBdr>
                                        <w:top w:val="none" w:sz="0" w:space="0" w:color="auto"/>
                                        <w:left w:val="none" w:sz="0" w:space="0" w:color="auto"/>
                                        <w:bottom w:val="none" w:sz="0" w:space="0" w:color="auto"/>
                                        <w:right w:val="none" w:sz="0" w:space="0" w:color="auto"/>
                                      </w:divBdr>
                                      <w:divsChild>
                                        <w:div w:id="1190217018">
                                          <w:marLeft w:val="0"/>
                                          <w:marRight w:val="0"/>
                                          <w:marTop w:val="0"/>
                                          <w:marBottom w:val="0"/>
                                          <w:divBdr>
                                            <w:top w:val="none" w:sz="0" w:space="0" w:color="auto"/>
                                            <w:left w:val="none" w:sz="0" w:space="0" w:color="auto"/>
                                            <w:bottom w:val="none" w:sz="0" w:space="0" w:color="auto"/>
                                            <w:right w:val="none" w:sz="0" w:space="0" w:color="auto"/>
                                          </w:divBdr>
                                          <w:divsChild>
                                            <w:div w:id="843469468">
                                              <w:marLeft w:val="0"/>
                                              <w:marRight w:val="0"/>
                                              <w:marTop w:val="0"/>
                                              <w:marBottom w:val="0"/>
                                              <w:divBdr>
                                                <w:top w:val="none" w:sz="0" w:space="0" w:color="auto"/>
                                                <w:left w:val="none" w:sz="0" w:space="0" w:color="auto"/>
                                                <w:bottom w:val="none" w:sz="0" w:space="0" w:color="auto"/>
                                                <w:right w:val="none" w:sz="0" w:space="0" w:color="auto"/>
                                              </w:divBdr>
                                              <w:divsChild>
                                                <w:div w:id="2112774078">
                                                  <w:marLeft w:val="0"/>
                                                  <w:marRight w:val="0"/>
                                                  <w:marTop w:val="0"/>
                                                  <w:marBottom w:val="0"/>
                                                  <w:divBdr>
                                                    <w:top w:val="none" w:sz="0" w:space="0" w:color="auto"/>
                                                    <w:left w:val="none" w:sz="0" w:space="0" w:color="auto"/>
                                                    <w:bottom w:val="none" w:sz="0" w:space="0" w:color="auto"/>
                                                    <w:right w:val="none" w:sz="0" w:space="0" w:color="auto"/>
                                                  </w:divBdr>
                                                  <w:divsChild>
                                                    <w:div w:id="126972008">
                                                      <w:marLeft w:val="0"/>
                                                      <w:marRight w:val="0"/>
                                                      <w:marTop w:val="0"/>
                                                      <w:marBottom w:val="0"/>
                                                      <w:divBdr>
                                                        <w:top w:val="none" w:sz="0" w:space="0" w:color="auto"/>
                                                        <w:left w:val="none" w:sz="0" w:space="0" w:color="auto"/>
                                                        <w:bottom w:val="none" w:sz="0" w:space="0" w:color="auto"/>
                                                        <w:right w:val="none" w:sz="0" w:space="0" w:color="auto"/>
                                                      </w:divBdr>
                                                      <w:divsChild>
                                                        <w:div w:id="18551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585951">
                                          <w:marLeft w:val="0"/>
                                          <w:marRight w:val="0"/>
                                          <w:marTop w:val="0"/>
                                          <w:marBottom w:val="0"/>
                                          <w:divBdr>
                                            <w:top w:val="none" w:sz="0" w:space="0" w:color="auto"/>
                                            <w:left w:val="none" w:sz="0" w:space="0" w:color="auto"/>
                                            <w:bottom w:val="none" w:sz="0" w:space="0" w:color="auto"/>
                                            <w:right w:val="none" w:sz="0" w:space="0" w:color="auto"/>
                                          </w:divBdr>
                                          <w:divsChild>
                                            <w:div w:id="462776559">
                                              <w:marLeft w:val="0"/>
                                              <w:marRight w:val="0"/>
                                              <w:marTop w:val="0"/>
                                              <w:marBottom w:val="0"/>
                                              <w:divBdr>
                                                <w:top w:val="none" w:sz="0" w:space="0" w:color="auto"/>
                                                <w:left w:val="none" w:sz="0" w:space="0" w:color="auto"/>
                                                <w:bottom w:val="none" w:sz="0" w:space="0" w:color="auto"/>
                                                <w:right w:val="none" w:sz="0" w:space="0" w:color="auto"/>
                                              </w:divBdr>
                                              <w:divsChild>
                                                <w:div w:id="376316540">
                                                  <w:marLeft w:val="0"/>
                                                  <w:marRight w:val="0"/>
                                                  <w:marTop w:val="0"/>
                                                  <w:marBottom w:val="0"/>
                                                  <w:divBdr>
                                                    <w:top w:val="none" w:sz="0" w:space="0" w:color="auto"/>
                                                    <w:left w:val="none" w:sz="0" w:space="0" w:color="auto"/>
                                                    <w:bottom w:val="none" w:sz="0" w:space="0" w:color="auto"/>
                                                    <w:right w:val="none" w:sz="0" w:space="0" w:color="auto"/>
                                                  </w:divBdr>
                                                  <w:divsChild>
                                                    <w:div w:id="871110671">
                                                      <w:marLeft w:val="0"/>
                                                      <w:marRight w:val="0"/>
                                                      <w:marTop w:val="0"/>
                                                      <w:marBottom w:val="0"/>
                                                      <w:divBdr>
                                                        <w:top w:val="none" w:sz="0" w:space="0" w:color="auto"/>
                                                        <w:left w:val="none" w:sz="0" w:space="0" w:color="auto"/>
                                                        <w:bottom w:val="none" w:sz="0" w:space="0" w:color="auto"/>
                                                        <w:right w:val="none" w:sz="0" w:space="0" w:color="auto"/>
                                                      </w:divBdr>
                                                      <w:divsChild>
                                                        <w:div w:id="690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4555">
                                                  <w:marLeft w:val="0"/>
                                                  <w:marRight w:val="0"/>
                                                  <w:marTop w:val="0"/>
                                                  <w:marBottom w:val="0"/>
                                                  <w:divBdr>
                                                    <w:top w:val="none" w:sz="0" w:space="0" w:color="auto"/>
                                                    <w:left w:val="none" w:sz="0" w:space="0" w:color="auto"/>
                                                    <w:bottom w:val="none" w:sz="0" w:space="0" w:color="auto"/>
                                                    <w:right w:val="none" w:sz="0" w:space="0" w:color="auto"/>
                                                  </w:divBdr>
                                                  <w:divsChild>
                                                    <w:div w:id="1010134533">
                                                      <w:marLeft w:val="0"/>
                                                      <w:marRight w:val="0"/>
                                                      <w:marTop w:val="0"/>
                                                      <w:marBottom w:val="0"/>
                                                      <w:divBdr>
                                                        <w:top w:val="none" w:sz="0" w:space="0" w:color="auto"/>
                                                        <w:left w:val="none" w:sz="0" w:space="0" w:color="auto"/>
                                                        <w:bottom w:val="none" w:sz="0" w:space="0" w:color="auto"/>
                                                        <w:right w:val="none" w:sz="0" w:space="0" w:color="auto"/>
                                                      </w:divBdr>
                                                      <w:divsChild>
                                                        <w:div w:id="20146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34603">
                                          <w:marLeft w:val="0"/>
                                          <w:marRight w:val="0"/>
                                          <w:marTop w:val="0"/>
                                          <w:marBottom w:val="0"/>
                                          <w:divBdr>
                                            <w:top w:val="none" w:sz="0" w:space="0" w:color="auto"/>
                                            <w:left w:val="none" w:sz="0" w:space="0" w:color="auto"/>
                                            <w:bottom w:val="none" w:sz="0" w:space="0" w:color="auto"/>
                                            <w:right w:val="none" w:sz="0" w:space="0" w:color="auto"/>
                                          </w:divBdr>
                                          <w:divsChild>
                                            <w:div w:id="1221096345">
                                              <w:marLeft w:val="0"/>
                                              <w:marRight w:val="0"/>
                                              <w:marTop w:val="0"/>
                                              <w:marBottom w:val="0"/>
                                              <w:divBdr>
                                                <w:top w:val="none" w:sz="0" w:space="0" w:color="auto"/>
                                                <w:left w:val="none" w:sz="0" w:space="0" w:color="auto"/>
                                                <w:bottom w:val="none" w:sz="0" w:space="0" w:color="auto"/>
                                                <w:right w:val="none" w:sz="0" w:space="0" w:color="auto"/>
                                              </w:divBdr>
                                              <w:divsChild>
                                                <w:div w:id="2097440864">
                                                  <w:marLeft w:val="0"/>
                                                  <w:marRight w:val="0"/>
                                                  <w:marTop w:val="0"/>
                                                  <w:marBottom w:val="0"/>
                                                  <w:divBdr>
                                                    <w:top w:val="none" w:sz="0" w:space="0" w:color="auto"/>
                                                    <w:left w:val="none" w:sz="0" w:space="0" w:color="auto"/>
                                                    <w:bottom w:val="none" w:sz="0" w:space="0" w:color="auto"/>
                                                    <w:right w:val="none" w:sz="0" w:space="0" w:color="auto"/>
                                                  </w:divBdr>
                                                  <w:divsChild>
                                                    <w:div w:id="673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TCG</dc:creator>
  <cp:lastModifiedBy>TCG</cp:lastModifiedBy>
  <cp:revision>1</cp:revision>
  <dcterms:created xsi:type="dcterms:W3CDTF">2016-07-12T08:28:00Z</dcterms:created>
  <dcterms:modified xsi:type="dcterms:W3CDTF">2016-07-12T08:37:00Z</dcterms:modified>
</cp:coreProperties>
</file>