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1" w:rsidRDefault="00E01573" w:rsidP="009348E2">
      <w:pPr>
        <w:ind w:rightChars="-131" w:right="-314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0"/>
      <w:bookmarkStart w:id="1" w:name="OLE_LINK21"/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="00657C4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657C48">
        <w:rPr>
          <w:rFonts w:ascii="標楷體" w:eastAsia="標楷體" w:hAnsi="標楷體"/>
          <w:b/>
          <w:color w:val="FF0000"/>
          <w:sz w:val="28"/>
          <w:szCs w:val="28"/>
        </w:rPr>
        <w:t>9</w:t>
      </w:r>
      <w:proofErr w:type="gramEnd"/>
      <w:r w:rsidR="00F833FC">
        <w:rPr>
          <w:rFonts w:ascii="標楷體" w:eastAsia="標楷體" w:hAnsi="標楷體" w:hint="eastAsia"/>
          <w:b/>
          <w:sz w:val="28"/>
          <w:szCs w:val="28"/>
        </w:rPr>
        <w:t>年度大型水箱消防車</w:t>
      </w:r>
      <w:r w:rsidR="00657C48">
        <w:rPr>
          <w:rFonts w:ascii="標楷體" w:eastAsia="標楷體" w:hAnsi="標楷體" w:hint="eastAsia"/>
          <w:b/>
          <w:sz w:val="28"/>
          <w:szCs w:val="28"/>
        </w:rPr>
        <w:t>3</w:t>
      </w:r>
      <w:r w:rsidR="00F833FC">
        <w:rPr>
          <w:rFonts w:ascii="標楷體" w:eastAsia="標楷體" w:hAnsi="標楷體" w:hint="eastAsia"/>
          <w:b/>
          <w:sz w:val="28"/>
          <w:szCs w:val="28"/>
        </w:rPr>
        <w:t>輛及小型水箱消防車</w:t>
      </w:r>
      <w:r w:rsidR="00657C48">
        <w:rPr>
          <w:rFonts w:ascii="標楷體" w:eastAsia="標楷體" w:hAnsi="標楷體" w:hint="eastAsia"/>
          <w:b/>
          <w:sz w:val="28"/>
          <w:szCs w:val="28"/>
        </w:rPr>
        <w:t>6</w:t>
      </w:r>
      <w:r w:rsidR="00F833FC">
        <w:rPr>
          <w:rFonts w:ascii="標楷體" w:eastAsia="標楷體" w:hAnsi="標楷體" w:hint="eastAsia"/>
          <w:b/>
          <w:sz w:val="28"/>
          <w:szCs w:val="28"/>
        </w:rPr>
        <w:t>輛</w:t>
      </w:r>
      <w:r w:rsidR="00135C61" w:rsidRPr="00107CE6">
        <w:rPr>
          <w:rFonts w:ascii="標楷體" w:eastAsia="標楷體" w:hAnsi="標楷體" w:hint="eastAsia"/>
          <w:b/>
          <w:sz w:val="28"/>
          <w:szCs w:val="28"/>
        </w:rPr>
        <w:t>規格</w:t>
      </w:r>
      <w:r>
        <w:rPr>
          <w:rFonts w:ascii="標楷體" w:eastAsia="標楷體" w:hAnsi="標楷體" w:hint="eastAsia"/>
          <w:b/>
          <w:sz w:val="28"/>
          <w:szCs w:val="28"/>
        </w:rPr>
        <w:t>審查表</w:t>
      </w:r>
      <w:r w:rsidR="00F833FC">
        <w:rPr>
          <w:rFonts w:ascii="標楷體" w:eastAsia="標楷體" w:hAnsi="標楷體" w:hint="eastAsia"/>
          <w:b/>
          <w:sz w:val="28"/>
          <w:szCs w:val="28"/>
        </w:rPr>
        <w:t>(大型水箱消防車)</w:t>
      </w: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418"/>
        <w:gridCol w:w="9772"/>
        <w:gridCol w:w="567"/>
        <w:gridCol w:w="1276"/>
        <w:gridCol w:w="436"/>
        <w:gridCol w:w="560"/>
        <w:gridCol w:w="1000"/>
      </w:tblGrid>
      <w:tr w:rsidR="009348E2" w:rsidTr="00BA0599">
        <w:trPr>
          <w:trHeight w:val="702"/>
          <w:tblHeader/>
          <w:jc w:val="center"/>
        </w:trPr>
        <w:tc>
          <w:tcPr>
            <w:tcW w:w="701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8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品    名</w:t>
            </w:r>
          </w:p>
        </w:tc>
        <w:tc>
          <w:tcPr>
            <w:tcW w:w="9772" w:type="dxa"/>
            <w:vAlign w:val="center"/>
          </w:tcPr>
          <w:p w:rsidR="00DF7E7D" w:rsidRPr="009348E2" w:rsidRDefault="00DF7E7D" w:rsidP="0030211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規格</w:t>
            </w:r>
            <w:r w:rsidR="00302110">
              <w:rPr>
                <w:rFonts w:ascii="標楷體" w:eastAsia="標楷體" w:hAnsi="標楷體" w:hint="eastAsia"/>
                <w:b/>
              </w:rPr>
              <w:t>審查項目</w:t>
            </w:r>
          </w:p>
        </w:tc>
        <w:tc>
          <w:tcPr>
            <w:tcW w:w="567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276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廠商檢核</w:t>
            </w:r>
          </w:p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對應型錄頁碼</w:t>
            </w:r>
          </w:p>
        </w:tc>
        <w:tc>
          <w:tcPr>
            <w:tcW w:w="436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合格</w:t>
            </w:r>
          </w:p>
        </w:tc>
        <w:tc>
          <w:tcPr>
            <w:tcW w:w="560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不合格</w:t>
            </w:r>
          </w:p>
        </w:tc>
        <w:tc>
          <w:tcPr>
            <w:tcW w:w="1000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不合格原因</w:t>
            </w:r>
          </w:p>
        </w:tc>
      </w:tr>
      <w:tr w:rsidR="009348E2" w:rsidTr="00BA0599">
        <w:trPr>
          <w:trHeight w:val="204"/>
          <w:jc w:val="center"/>
        </w:trPr>
        <w:tc>
          <w:tcPr>
            <w:tcW w:w="701" w:type="dxa"/>
            <w:vMerge w:val="restart"/>
            <w:vAlign w:val="center"/>
          </w:tcPr>
          <w:p w:rsidR="00375D98" w:rsidRPr="008822C4" w:rsidRDefault="00FC645E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壹、</w:t>
            </w:r>
            <w:r w:rsidR="00C672A1">
              <w:rPr>
                <w:rFonts w:ascii="標楷體" w:eastAsia="標楷體" w:hAnsi="標楷體" w:cs="細明體" w:hint="eastAsia"/>
              </w:rPr>
              <w:t>三</w:t>
            </w:r>
          </w:p>
        </w:tc>
        <w:tc>
          <w:tcPr>
            <w:tcW w:w="1418" w:type="dxa"/>
            <w:vMerge w:val="restart"/>
            <w:vAlign w:val="center"/>
          </w:tcPr>
          <w:p w:rsidR="00375D98" w:rsidRPr="008822C4" w:rsidRDefault="00C672A1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底盤</w:t>
            </w:r>
          </w:p>
        </w:tc>
        <w:tc>
          <w:tcPr>
            <w:tcW w:w="9772" w:type="dxa"/>
          </w:tcPr>
          <w:p w:rsidR="00375D98" w:rsidRPr="008822C4" w:rsidRDefault="00D72EFA" w:rsidP="000C0B7F">
            <w:pPr>
              <w:pStyle w:val="31"/>
            </w:pPr>
            <w:r>
              <w:rPr>
                <w:rFonts w:hint="eastAsia"/>
                <w:snapToGrid w:val="0"/>
                <w:lang w:val="en-US" w:eastAsia="zh-TW"/>
              </w:rPr>
              <w:t>(一)</w:t>
            </w:r>
            <w:r w:rsidRPr="006C306D">
              <w:rPr>
                <w:rFonts w:hint="eastAsia"/>
                <w:snapToGrid w:val="0"/>
              </w:rPr>
              <w:t>總</w:t>
            </w:r>
            <w:r w:rsidRPr="00FE0009">
              <w:rPr>
                <w:rFonts w:hint="eastAsia"/>
                <w:snapToGrid w:val="0"/>
              </w:rPr>
              <w:t>重：1</w:t>
            </w:r>
            <w:r w:rsidRPr="00FE0009">
              <w:rPr>
                <w:snapToGrid w:val="0"/>
              </w:rPr>
              <w:t>1</w:t>
            </w:r>
            <w:r w:rsidRPr="00FE0009">
              <w:rPr>
                <w:rFonts w:hint="eastAsia"/>
                <w:snapToGrid w:val="0"/>
              </w:rPr>
              <w:t>,000</w:t>
            </w:r>
            <w:r>
              <w:rPr>
                <w:rFonts w:hint="eastAsia"/>
                <w:snapToGrid w:val="0"/>
              </w:rPr>
              <w:t>kg</w:t>
            </w:r>
            <w:r w:rsidRPr="006C306D">
              <w:rPr>
                <w:rFonts w:hint="eastAsia"/>
                <w:snapToGrid w:val="0"/>
              </w:rPr>
              <w:t>以上</w:t>
            </w:r>
            <w:bookmarkStart w:id="2" w:name="_GoBack"/>
            <w:bookmarkEnd w:id="2"/>
            <w:r w:rsidRPr="00056226">
              <w:rPr>
                <w:rFonts w:hint="eastAsia"/>
                <w:snapToGrid w:val="0"/>
              </w:rPr>
              <w:t>。</w:t>
            </w:r>
          </w:p>
        </w:tc>
        <w:tc>
          <w:tcPr>
            <w:tcW w:w="567" w:type="dxa"/>
          </w:tcPr>
          <w:p w:rsidR="00375D98" w:rsidRPr="007043F8" w:rsidRDefault="00375D98" w:rsidP="00DF2A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48E2" w:rsidTr="00BA0599">
        <w:trPr>
          <w:trHeight w:val="215"/>
          <w:jc w:val="center"/>
        </w:trPr>
        <w:tc>
          <w:tcPr>
            <w:tcW w:w="701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75D98" w:rsidRPr="008822C4" w:rsidRDefault="00D72EFA" w:rsidP="00D72EFA">
            <w:pPr>
              <w:pStyle w:val="31"/>
            </w:pPr>
            <w:r>
              <w:rPr>
                <w:rFonts w:hint="eastAsia"/>
                <w:snapToGrid w:val="0"/>
                <w:lang w:eastAsia="zh-TW"/>
              </w:rPr>
              <w:t>(二)</w:t>
            </w:r>
            <w:proofErr w:type="spellStart"/>
            <w:r w:rsidRPr="00E80E8C">
              <w:rPr>
                <w:rFonts w:hint="eastAsia"/>
                <w:snapToGrid w:val="0"/>
              </w:rPr>
              <w:t>轉向系統</w:t>
            </w:r>
            <w:r w:rsidRPr="00E80E8C">
              <w:rPr>
                <w:snapToGrid w:val="0"/>
              </w:rPr>
              <w:t>:</w:t>
            </w:r>
            <w:r w:rsidRPr="00E80E8C">
              <w:rPr>
                <w:rFonts w:hint="eastAsia"/>
                <w:snapToGrid w:val="0"/>
              </w:rPr>
              <w:t>左手邊駕駛，油壓動力轉向機</w:t>
            </w:r>
            <w:proofErr w:type="spellEnd"/>
            <w:r w:rsidRPr="00E80E8C">
              <w:rPr>
                <w:rFonts w:hint="eastAsia"/>
                <w:snapToGrid w:val="0"/>
              </w:rPr>
              <w:t>。</w:t>
            </w:r>
          </w:p>
        </w:tc>
        <w:tc>
          <w:tcPr>
            <w:tcW w:w="567" w:type="dxa"/>
          </w:tcPr>
          <w:p w:rsidR="00375D98" w:rsidRPr="007043F8" w:rsidRDefault="00375D98" w:rsidP="00DF2A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48E2" w:rsidTr="00BA0599">
        <w:trPr>
          <w:trHeight w:val="58"/>
          <w:jc w:val="center"/>
        </w:trPr>
        <w:tc>
          <w:tcPr>
            <w:tcW w:w="701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75D98" w:rsidRPr="008822C4" w:rsidRDefault="00D72EFA" w:rsidP="00D72EFA">
            <w:pPr>
              <w:pStyle w:val="31"/>
            </w:pPr>
            <w:r>
              <w:rPr>
                <w:rFonts w:hint="eastAsia"/>
                <w:snapToGrid w:val="0"/>
                <w:lang w:eastAsia="zh-TW"/>
              </w:rPr>
              <w:t>(三)</w:t>
            </w:r>
            <w:proofErr w:type="spellStart"/>
            <w:r w:rsidRPr="006C306D">
              <w:rPr>
                <w:rFonts w:hint="eastAsia"/>
                <w:snapToGrid w:val="0"/>
              </w:rPr>
              <w:t>煞車系統</w:t>
            </w:r>
            <w:r w:rsidRPr="006C306D">
              <w:rPr>
                <w:snapToGrid w:val="0"/>
              </w:rPr>
              <w:t>:</w:t>
            </w:r>
            <w:r w:rsidRPr="006C306D">
              <w:rPr>
                <w:rFonts w:hint="eastAsia"/>
                <w:snapToGrid w:val="0"/>
              </w:rPr>
              <w:t>雙迴路全空壓煞車或空氣液壓式煞車系統，並附引擎排氣煞車及ABS煞車系統</w:t>
            </w:r>
            <w:proofErr w:type="spellEnd"/>
            <w:r w:rsidRPr="006C306D">
              <w:rPr>
                <w:rFonts w:hint="eastAsia"/>
                <w:snapToGrid w:val="0"/>
              </w:rPr>
              <w:t>。</w:t>
            </w:r>
          </w:p>
        </w:tc>
        <w:tc>
          <w:tcPr>
            <w:tcW w:w="567" w:type="dxa"/>
          </w:tcPr>
          <w:p w:rsidR="00375D98" w:rsidRPr="007043F8" w:rsidRDefault="00375D98" w:rsidP="00DF2A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4D6323">
        <w:trPr>
          <w:trHeight w:val="365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Pr="00DF2AD7" w:rsidRDefault="00D72EFA" w:rsidP="00D72EFA">
            <w:pPr>
              <w:pStyle w:val="3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(四)</w:t>
            </w:r>
            <w:proofErr w:type="spellStart"/>
            <w:r w:rsidRPr="006C306D">
              <w:rPr>
                <w:rFonts w:hint="eastAsia"/>
              </w:rPr>
              <w:t>電力系統</w:t>
            </w:r>
            <w:proofErr w:type="spellEnd"/>
            <w:r w:rsidRPr="006C306D">
              <w:rPr>
                <w:rFonts w:hint="eastAsia"/>
              </w:rPr>
              <w:t>：</w:t>
            </w:r>
          </w:p>
        </w:tc>
        <w:tc>
          <w:tcPr>
            <w:tcW w:w="3839" w:type="dxa"/>
            <w:gridSpan w:val="5"/>
          </w:tcPr>
          <w:p w:rsidR="00D72EFA" w:rsidRDefault="00D72EFA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271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334AE" w:rsidRPr="008822C4" w:rsidRDefault="00D72EFA" w:rsidP="00C672A1">
            <w:pPr>
              <w:pStyle w:val="2"/>
              <w:numPr>
                <w:ilvl w:val="0"/>
                <w:numId w:val="0"/>
              </w:numPr>
              <w:ind w:firstLineChars="192" w:firstLine="46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Pr="006C306D">
              <w:rPr>
                <w:rFonts w:hint="eastAsia"/>
                <w:color w:val="000000"/>
              </w:rPr>
              <w:t xml:space="preserve"> 電瓶容量2只12</w:t>
            </w:r>
            <w:r w:rsidRPr="00FE0009">
              <w:rPr>
                <w:rFonts w:hint="eastAsia"/>
              </w:rPr>
              <w:t>V/110AH以上。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334AE" w:rsidRPr="008822C4" w:rsidRDefault="00D72EFA" w:rsidP="00D72EFA">
            <w:pPr>
              <w:pStyle w:val="2"/>
              <w:numPr>
                <w:ilvl w:val="0"/>
                <w:numId w:val="0"/>
              </w:numPr>
              <w:ind w:firstLineChars="192" w:firstLine="46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Pr="006C306D">
              <w:rPr>
                <w:rFonts w:hint="eastAsia"/>
                <w:color w:val="000000"/>
              </w:rPr>
              <w:t xml:space="preserve"> </w:t>
            </w:r>
            <w:proofErr w:type="spellStart"/>
            <w:r w:rsidRPr="006C306D">
              <w:rPr>
                <w:rFonts w:hint="eastAsia"/>
                <w:color w:val="000000"/>
              </w:rPr>
              <w:t>發電機</w:t>
            </w:r>
            <w:proofErr w:type="spellEnd"/>
            <w:r w:rsidRPr="006C306D">
              <w:rPr>
                <w:rFonts w:hint="eastAsia"/>
                <w:color w:val="000000"/>
              </w:rPr>
              <w:t xml:space="preserve"> 24V/60A以上。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D72EFA" w:rsidP="00C672A1">
            <w:pPr>
              <w:pStyle w:val="2"/>
              <w:numPr>
                <w:ilvl w:val="0"/>
                <w:numId w:val="0"/>
              </w:numPr>
              <w:ind w:left="461" w:hangingChars="192" w:hanging="46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(五)</w:t>
            </w:r>
            <w:proofErr w:type="spellStart"/>
            <w:r w:rsidRPr="006C306D">
              <w:rPr>
                <w:rFonts w:hint="eastAsia"/>
                <w:color w:val="000000"/>
              </w:rPr>
              <w:t>輪胎:依底盤原廠設計尺寸</w:t>
            </w:r>
            <w:proofErr w:type="spellEnd"/>
            <w:r w:rsidRPr="006C306D">
              <w:rPr>
                <w:rFonts w:hint="eastAsia"/>
                <w:color w:val="000000"/>
              </w:rPr>
              <w:t>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D72EFA" w:rsidP="00D72EFA">
            <w:pPr>
              <w:pStyle w:val="2"/>
              <w:numPr>
                <w:ilvl w:val="0"/>
                <w:numId w:val="0"/>
              </w:numPr>
              <w:ind w:left="509" w:hangingChars="212" w:hanging="509"/>
              <w:rPr>
                <w:lang w:eastAsia="zh-TW"/>
              </w:rPr>
            </w:pPr>
            <w:r>
              <w:rPr>
                <w:rFonts w:hint="eastAsia"/>
                <w:snapToGrid w:val="0"/>
                <w:color w:val="000000"/>
                <w:lang w:val="en-US" w:eastAsia="zh-TW"/>
              </w:rPr>
              <w:t>(七)</w:t>
            </w:r>
            <w:proofErr w:type="spellStart"/>
            <w:r w:rsidRPr="000C0B7F">
              <w:rPr>
                <w:rFonts w:hint="eastAsia"/>
                <w:snapToGrid w:val="0"/>
                <w:color w:val="000000"/>
              </w:rPr>
              <w:t>變速箱：</w:t>
            </w:r>
            <w:r w:rsidR="00657C48" w:rsidRPr="000C0B7F">
              <w:rPr>
                <w:rFonts w:cs="Calibri Light" w:hint="eastAsia"/>
              </w:rPr>
              <w:t>自動排檔或手</w:t>
            </w:r>
            <w:proofErr w:type="spellEnd"/>
            <w:r w:rsidR="00657C48" w:rsidRPr="000C0B7F">
              <w:rPr>
                <w:rFonts w:cs="Calibri Light" w:hint="eastAsia"/>
              </w:rPr>
              <w:t>/自動排檔</w:t>
            </w:r>
            <w:r w:rsidR="00657C48" w:rsidRPr="000C0B7F">
              <w:rPr>
                <w:rFonts w:hint="eastAsia"/>
              </w:rPr>
              <w:t>，前進</w:t>
            </w:r>
            <w:r w:rsidR="00657C48" w:rsidRPr="000C0B7F">
              <w:t>4</w:t>
            </w:r>
            <w:r w:rsidR="00657C48" w:rsidRPr="000C0B7F">
              <w:rPr>
                <w:rFonts w:hint="eastAsia"/>
              </w:rPr>
              <w:t>檔或以上，後退1檔或以上。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43EB" w:rsidTr="00BB0FE6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E643EB" w:rsidRPr="008822C4" w:rsidRDefault="00E643EB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E643EB" w:rsidRPr="008822C4" w:rsidRDefault="00E643EB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E643EB" w:rsidRDefault="00E643EB" w:rsidP="00D72EFA">
            <w:pPr>
              <w:pStyle w:val="2"/>
              <w:numPr>
                <w:ilvl w:val="0"/>
                <w:numId w:val="0"/>
              </w:numPr>
              <w:ind w:left="509" w:hangingChars="212" w:hanging="50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(八)</w:t>
            </w:r>
            <w:r w:rsidRPr="00E80E8C">
              <w:t xml:space="preserve"> </w:t>
            </w:r>
            <w:proofErr w:type="spellStart"/>
            <w:r w:rsidRPr="00E80E8C">
              <w:t>P.T.O.</w:t>
            </w:r>
            <w:r w:rsidRPr="00E80E8C">
              <w:rPr>
                <w:rFonts w:hint="eastAsia"/>
              </w:rPr>
              <w:t>裝置</w:t>
            </w:r>
            <w:proofErr w:type="spellEnd"/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3839" w:type="dxa"/>
            <w:gridSpan w:val="5"/>
          </w:tcPr>
          <w:p w:rsidR="00E643EB" w:rsidRDefault="00E643EB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C672A1">
            <w:pPr>
              <w:pStyle w:val="2"/>
              <w:numPr>
                <w:ilvl w:val="0"/>
                <w:numId w:val="0"/>
              </w:numPr>
              <w:tabs>
                <w:tab w:val="clear" w:pos="1276"/>
                <w:tab w:val="left" w:pos="745"/>
              </w:tabs>
              <w:ind w:leftChars="193" w:left="744" w:hangingChars="117" w:hanging="28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="00A222F6">
              <w:rPr>
                <w:rFonts w:hint="eastAsia"/>
              </w:rPr>
              <w:t>為原廠</w:t>
            </w:r>
            <w:r w:rsidR="00A222F6">
              <w:rPr>
                <w:rFonts w:hint="eastAsia"/>
                <w:lang w:eastAsia="zh-TW"/>
              </w:rPr>
              <w:t>裝</w:t>
            </w:r>
            <w:r w:rsidR="00A222F6">
              <w:rPr>
                <w:rFonts w:hint="eastAsia"/>
              </w:rPr>
              <w:t>配</w:t>
            </w:r>
            <w:r w:rsidR="00D72EFA" w:rsidRPr="00E80E8C">
              <w:rPr>
                <w:rFonts w:hint="eastAsia"/>
              </w:rPr>
              <w:t>，不得使用切傳動軸或</w:t>
            </w:r>
            <w:r w:rsidR="00D72EFA" w:rsidRPr="00E80E8C">
              <w:rPr>
                <w:rFonts w:hint="eastAsia"/>
                <w:snapToGrid w:val="0"/>
              </w:rPr>
              <w:t>外加</w:t>
            </w:r>
            <w:r w:rsidR="00D72EFA">
              <w:rPr>
                <w:rFonts w:hint="eastAsia"/>
                <w:snapToGrid w:val="0"/>
              </w:rPr>
              <w:t>P.T.O.</w:t>
            </w:r>
            <w:r w:rsidR="00D72EFA" w:rsidRPr="00E80E8C">
              <w:rPr>
                <w:rFonts w:hint="eastAsia"/>
                <w:snapToGrid w:val="0"/>
              </w:rPr>
              <w:t>方式</w:t>
            </w:r>
            <w:r w:rsidR="00D72EFA" w:rsidRPr="00E80E8C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12040D">
            <w:pPr>
              <w:pStyle w:val="2"/>
              <w:numPr>
                <w:ilvl w:val="0"/>
                <w:numId w:val="0"/>
              </w:numPr>
              <w:ind w:leftChars="192" w:left="507" w:hangingChars="19" w:hanging="4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</w:rPr>
              <w:t>為消防車專用之P.T.O，並檢附相關證明文件。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12040D">
            <w:pPr>
              <w:pStyle w:val="2"/>
              <w:numPr>
                <w:ilvl w:val="0"/>
                <w:numId w:val="0"/>
              </w:numPr>
              <w:ind w:leftChars="192" w:left="507" w:hangingChars="19" w:hanging="4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 w:rsidRPr="00E80E8C">
              <w:rPr>
                <w:rFonts w:hint="eastAsia"/>
              </w:rPr>
              <w:t>引擎、</w:t>
            </w:r>
            <w:r w:rsidRPr="00E80E8C">
              <w:t>P.T.O.</w:t>
            </w:r>
            <w:r w:rsidRPr="00E80E8C">
              <w:rPr>
                <w:rFonts w:hint="eastAsia"/>
              </w:rPr>
              <w:t>齒輪箱齒輪油均須裝有冷卻裝置，且必須為原廠裝配。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217"/>
          <w:jc w:val="center"/>
        </w:trPr>
        <w:tc>
          <w:tcPr>
            <w:tcW w:w="701" w:type="dxa"/>
            <w:vMerge w:val="restart"/>
            <w:vAlign w:val="center"/>
          </w:tcPr>
          <w:p w:rsidR="003334AE" w:rsidRPr="008822C4" w:rsidRDefault="00FC645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壹、</w:t>
            </w:r>
            <w:r w:rsidR="00E643EB">
              <w:rPr>
                <w:rFonts w:ascii="標楷體" w:eastAsia="標楷體" w:hAnsi="標楷體" w:cs="細明體" w:hint="eastAsia"/>
              </w:rPr>
              <w:t>五</w:t>
            </w:r>
          </w:p>
        </w:tc>
        <w:tc>
          <w:tcPr>
            <w:tcW w:w="1418" w:type="dxa"/>
            <w:vMerge w:val="restart"/>
            <w:vAlign w:val="center"/>
          </w:tcPr>
          <w:p w:rsidR="003334AE" w:rsidRPr="008822C4" w:rsidRDefault="00E643EB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消防幫浦</w:t>
            </w:r>
          </w:p>
        </w:tc>
        <w:tc>
          <w:tcPr>
            <w:tcW w:w="9772" w:type="dxa"/>
          </w:tcPr>
          <w:p w:rsidR="003334AE" w:rsidRPr="008822C4" w:rsidRDefault="00E643EB" w:rsidP="0017294C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rPr>
                <w:color w:val="FF0000"/>
              </w:rPr>
            </w:pPr>
            <w:r w:rsidRPr="00475949">
              <w:rPr>
                <w:rFonts w:hAnsi="標楷體" w:hint="eastAsia"/>
                <w:szCs w:val="24"/>
              </w:rPr>
              <w:t>消防幫浦（含本體及動葉輪）材質應為耐腐蝕青銅或鋁合金製成，由引擎經</w:t>
            </w:r>
            <w:r w:rsidRPr="00475949">
              <w:rPr>
                <w:rFonts w:hAnsi="標楷體"/>
                <w:szCs w:val="24"/>
              </w:rPr>
              <w:t>P.T.O.</w:t>
            </w:r>
            <w:r w:rsidRPr="00475949">
              <w:rPr>
                <w:rFonts w:hAnsi="標楷體" w:hint="eastAsia"/>
                <w:szCs w:val="24"/>
              </w:rPr>
              <w:t>驅動</w:t>
            </w:r>
            <w:proofErr w:type="gramStart"/>
            <w:r w:rsidRPr="00475949">
              <w:rPr>
                <w:rFonts w:hAnsi="標楷體" w:hint="eastAsia"/>
                <w:szCs w:val="24"/>
              </w:rPr>
              <w:t>且幫浦應</w:t>
            </w:r>
            <w:proofErr w:type="gramEnd"/>
            <w:r w:rsidRPr="00475949">
              <w:rPr>
                <w:rFonts w:hAnsi="標楷體" w:hint="eastAsia"/>
                <w:szCs w:val="24"/>
              </w:rPr>
              <w:t>符合</w:t>
            </w:r>
            <w:r w:rsidRPr="00475949">
              <w:rPr>
                <w:rFonts w:hAnsi="標楷體"/>
                <w:szCs w:val="24"/>
              </w:rPr>
              <w:t>EN</w:t>
            </w:r>
            <w:r w:rsidRPr="00475949">
              <w:rPr>
                <w:rFonts w:hAnsi="標楷體" w:hint="eastAsia"/>
                <w:szCs w:val="24"/>
              </w:rPr>
              <w:t>1028</w:t>
            </w:r>
            <w:r w:rsidRPr="00475949">
              <w:rPr>
                <w:rFonts w:hAnsi="標楷體"/>
                <w:szCs w:val="24"/>
              </w:rPr>
              <w:t>國際標準</w:t>
            </w:r>
            <w:r w:rsidRPr="00475949">
              <w:rPr>
                <w:rFonts w:hAnsi="標楷體" w:hint="eastAsia"/>
                <w:szCs w:val="24"/>
              </w:rPr>
              <w:t>。（附證明文件，外文者應附中文</w:t>
            </w:r>
            <w:r w:rsidRPr="00475949">
              <w:rPr>
                <w:rFonts w:hAnsi="標楷體" w:hint="eastAsia"/>
                <w:snapToGrid w:val="0"/>
                <w:szCs w:val="24"/>
              </w:rPr>
              <w:t>翻譯）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5194" w:rsidTr="00E32BE4">
        <w:trPr>
          <w:trHeight w:val="423"/>
          <w:jc w:val="center"/>
        </w:trPr>
        <w:tc>
          <w:tcPr>
            <w:tcW w:w="701" w:type="dxa"/>
            <w:vMerge/>
            <w:vAlign w:val="center"/>
          </w:tcPr>
          <w:p w:rsidR="000B5194" w:rsidRPr="008822C4" w:rsidRDefault="000B5194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0B5194" w:rsidRPr="008822C4" w:rsidRDefault="000B5194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0B5194" w:rsidRPr="008822C4" w:rsidRDefault="000B5194" w:rsidP="00E643EB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rPr>
                <w:color w:val="FF0000"/>
                <w:szCs w:val="24"/>
              </w:rPr>
            </w:pPr>
            <w:r>
              <w:rPr>
                <w:rFonts w:hAnsi="標楷體" w:hint="eastAsia"/>
                <w:snapToGrid w:val="0"/>
                <w:kern w:val="52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snapToGrid w:val="0"/>
                <w:kern w:val="52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snapToGrid w:val="0"/>
                <w:kern w:val="52"/>
                <w:szCs w:val="24"/>
              </w:rPr>
              <w:t>)</w:t>
            </w:r>
            <w:proofErr w:type="gramStart"/>
            <w:r w:rsidRPr="00E80E8C">
              <w:rPr>
                <w:rFonts w:hAnsi="標楷體" w:hint="eastAsia"/>
                <w:snapToGrid w:val="0"/>
                <w:kern w:val="52"/>
                <w:szCs w:val="24"/>
              </w:rPr>
              <w:t>主幫浦</w:t>
            </w:r>
            <w:proofErr w:type="gramEnd"/>
            <w:r w:rsidRPr="00E80E8C">
              <w:rPr>
                <w:rFonts w:hAnsi="標楷體" w:hint="eastAsia"/>
                <w:snapToGrid w:val="0"/>
                <w:kern w:val="52"/>
                <w:szCs w:val="24"/>
              </w:rPr>
              <w:t>部分：</w:t>
            </w:r>
          </w:p>
        </w:tc>
        <w:tc>
          <w:tcPr>
            <w:tcW w:w="3839" w:type="dxa"/>
            <w:gridSpan w:val="5"/>
          </w:tcPr>
          <w:p w:rsidR="000B5194" w:rsidRDefault="000B5194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3334AE" w:rsidRPr="000B5194" w:rsidRDefault="000B5194" w:rsidP="00C672A1">
            <w:pPr>
              <w:ind w:leftChars="192" w:left="744" w:hangingChars="118" w:hanging="283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1.</w:t>
            </w:r>
            <w:r w:rsidRPr="006C306D">
              <w:rPr>
                <w:rFonts w:ascii="標楷體" w:eastAsia="標楷體" w:hAnsi="標楷體" w:hint="eastAsia"/>
                <w:snapToGrid w:val="0"/>
                <w:color w:val="000000"/>
              </w:rPr>
              <w:t>出水能力：於壓力10 kg/</w:t>
            </w:r>
            <w:r w:rsidRPr="006C306D">
              <w:rPr>
                <w:rFonts w:ascii="標楷體" w:eastAsia="標楷體" w:hAnsi="標楷體" w:hint="eastAsia"/>
                <w:color w:val="000000"/>
              </w:rPr>
              <w:t xml:space="preserve"> cm</w:t>
            </w:r>
            <w:r w:rsidRPr="006C306D">
              <w:rPr>
                <w:rFonts w:ascii="標楷體" w:eastAsia="標楷體" w:hAnsi="標楷體" w:hint="eastAsia"/>
                <w:color w:val="000000"/>
                <w:vertAlign w:val="superscript"/>
              </w:rPr>
              <w:t>2</w:t>
            </w:r>
            <w:r w:rsidRPr="006C306D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、吸水高度3m條件下，出水量達3000 l/min </w:t>
            </w:r>
            <w:r w:rsidRPr="00F14D8E">
              <w:rPr>
                <w:rFonts w:ascii="標楷體" w:eastAsia="標楷體" w:hAnsi="標楷體"/>
              </w:rPr>
              <w:t>(</w:t>
            </w:r>
            <w:r w:rsidRPr="00F14D8E">
              <w:rPr>
                <w:rFonts w:ascii="標楷體" w:eastAsia="標楷體" w:hAnsi="標楷體" w:hint="eastAsia"/>
              </w:rPr>
              <w:t>含</w:t>
            </w:r>
            <w:r w:rsidRPr="00F14D8E">
              <w:rPr>
                <w:rFonts w:ascii="標楷體" w:eastAsia="標楷體" w:hAnsi="標楷體"/>
              </w:rPr>
              <w:t>)</w:t>
            </w:r>
            <w:r w:rsidRPr="006C306D">
              <w:rPr>
                <w:rFonts w:ascii="標楷體" w:eastAsia="標楷體" w:hAnsi="標楷體" w:hint="eastAsia"/>
                <w:snapToGrid w:val="0"/>
                <w:color w:val="000000"/>
              </w:rPr>
              <w:t>以上。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3334AE" w:rsidRPr="008822C4" w:rsidRDefault="000B5194" w:rsidP="007109BB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firstLineChars="192" w:firstLine="461"/>
              <w:rPr>
                <w:color w:val="FF0000"/>
              </w:rPr>
            </w:pPr>
            <w:r>
              <w:rPr>
                <w:rFonts w:hint="eastAsia"/>
                <w:snapToGrid w:val="0"/>
              </w:rPr>
              <w:t>2.</w:t>
            </w:r>
            <w:r w:rsidRPr="000A6DC4">
              <w:rPr>
                <w:rFonts w:hAnsi="標楷體" w:hint="eastAsia"/>
                <w:snapToGrid w:val="0"/>
                <w:szCs w:val="24"/>
              </w:rPr>
              <w:t>消防幫浦須裝有排水閥。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5B771F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6" w:hangingChars="236" w:hanging="566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(二)</w:t>
            </w:r>
            <w:r w:rsidRPr="00E80E8C">
              <w:rPr>
                <w:rFonts w:hAnsi="標楷體" w:hint="eastAsia"/>
                <w:snapToGrid w:val="0"/>
                <w:szCs w:val="24"/>
              </w:rPr>
              <w:t>真空幫浦</w:t>
            </w:r>
            <w:r w:rsidRPr="00E80E8C">
              <w:rPr>
                <w:rFonts w:hAnsi="標楷體" w:hint="eastAsia"/>
                <w:szCs w:val="24"/>
              </w:rPr>
              <w:t>：</w:t>
            </w:r>
          </w:p>
        </w:tc>
        <w:tc>
          <w:tcPr>
            <w:tcW w:w="3839" w:type="dxa"/>
            <w:gridSpan w:val="5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3" w:left="744" w:hangingChars="117" w:hanging="281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1.</w:t>
            </w:r>
            <w:r w:rsidRPr="00E80E8C">
              <w:rPr>
                <w:rFonts w:hAnsi="標楷體" w:hint="eastAsia"/>
                <w:snapToGrid w:val="0"/>
                <w:szCs w:val="24"/>
              </w:rPr>
              <w:t>型式</w:t>
            </w:r>
            <w:r w:rsidRPr="00E80E8C">
              <w:rPr>
                <w:rFonts w:hAnsi="標楷體" w:hint="eastAsia"/>
                <w:szCs w:val="24"/>
              </w:rPr>
              <w:t>：</w:t>
            </w:r>
            <w:r w:rsidRPr="00E80E8C">
              <w:rPr>
                <w:rFonts w:hAnsi="標楷體" w:hint="eastAsia"/>
                <w:snapToGrid w:val="0"/>
                <w:szCs w:val="24"/>
              </w:rPr>
              <w:t>全自動雙活塞式</w:t>
            </w:r>
            <w:r w:rsidRPr="00E80E8C">
              <w:rPr>
                <w:rFonts w:hAnsi="標楷體" w:hint="eastAsia"/>
                <w:szCs w:val="24"/>
              </w:rPr>
              <w:t>、</w:t>
            </w:r>
            <w:r w:rsidRPr="00E80E8C">
              <w:rPr>
                <w:rFonts w:hAnsi="標楷體" w:hint="eastAsia"/>
                <w:snapToGrid w:val="0"/>
                <w:szCs w:val="24"/>
              </w:rPr>
              <w:t>或自動水環式、或全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自動雙閥門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式、或葉片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迴轉式等種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型式真空幫浦。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2.</w:t>
            </w:r>
            <w:r w:rsidRPr="00E80E8C">
              <w:rPr>
                <w:rFonts w:hAnsi="標楷體" w:hint="eastAsia"/>
                <w:snapToGrid w:val="0"/>
                <w:szCs w:val="24"/>
              </w:rPr>
              <w:t>真空能力：操作</w:t>
            </w:r>
            <w:r w:rsidRPr="00E80E8C">
              <w:rPr>
                <w:rFonts w:hAnsi="標楷體"/>
                <w:snapToGrid w:val="0"/>
                <w:szCs w:val="24"/>
              </w:rPr>
              <w:t>30</w:t>
            </w:r>
            <w:r w:rsidRPr="00E80E8C">
              <w:rPr>
                <w:rFonts w:hAnsi="標楷體" w:hint="eastAsia"/>
                <w:snapToGrid w:val="0"/>
                <w:szCs w:val="24"/>
              </w:rPr>
              <w:t>秒真空度可達</w:t>
            </w:r>
            <w:r w:rsidRPr="00E80E8C">
              <w:rPr>
                <w:rFonts w:hAnsi="標楷體"/>
                <w:snapToGrid w:val="0"/>
                <w:szCs w:val="24"/>
              </w:rPr>
              <w:t>660 mmHg</w:t>
            </w:r>
            <w:r w:rsidRPr="00F14D8E">
              <w:rPr>
                <w:rFonts w:hAnsi="標楷體"/>
              </w:rPr>
              <w:t>(</w:t>
            </w:r>
            <w:r w:rsidRPr="00F14D8E">
              <w:rPr>
                <w:rFonts w:hAnsi="標楷體" w:hint="eastAsia"/>
              </w:rPr>
              <w:t>含</w:t>
            </w:r>
            <w:r w:rsidRPr="00F14D8E">
              <w:rPr>
                <w:rFonts w:hAnsi="標楷體"/>
              </w:rPr>
              <w:t>)</w:t>
            </w:r>
            <w:r w:rsidRPr="00E80E8C">
              <w:rPr>
                <w:rFonts w:hAnsi="標楷體" w:hint="eastAsia"/>
                <w:snapToGrid w:val="0"/>
                <w:szCs w:val="24"/>
              </w:rPr>
              <w:t>以上。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3.</w:t>
            </w:r>
            <w:r w:rsidRPr="00E80E8C">
              <w:rPr>
                <w:rFonts w:hAnsi="標楷體" w:hint="eastAsia"/>
                <w:snapToGrid w:val="0"/>
                <w:szCs w:val="24"/>
              </w:rPr>
              <w:t>真空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幫浦需具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潤滑油回收裝置，或不用潤滑油。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3" w:left="744" w:hangingChars="117" w:hanging="281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4.</w:t>
            </w:r>
            <w:r w:rsidRPr="00674BE8">
              <w:rPr>
                <w:rFonts w:hAnsi="標楷體" w:hint="eastAsia"/>
                <w:snapToGrid w:val="0"/>
                <w:szCs w:val="24"/>
              </w:rPr>
              <w:t>全自動式真空幫浦，應具有在消防幫浦及真空幫</w:t>
            </w:r>
            <w:proofErr w:type="gramStart"/>
            <w:r w:rsidRPr="00674BE8">
              <w:rPr>
                <w:rFonts w:hAnsi="標楷體" w:hint="eastAsia"/>
                <w:snapToGrid w:val="0"/>
                <w:szCs w:val="24"/>
              </w:rPr>
              <w:t>浦均無水</w:t>
            </w:r>
            <w:proofErr w:type="gramEnd"/>
            <w:r w:rsidRPr="00674BE8">
              <w:rPr>
                <w:rFonts w:hAnsi="標楷體" w:hint="eastAsia"/>
                <w:snapToGrid w:val="0"/>
                <w:szCs w:val="24"/>
              </w:rPr>
              <w:t>狀況時能自動啟動，而在將水吸入</w:t>
            </w:r>
            <w:proofErr w:type="gramStart"/>
            <w:r w:rsidRPr="00674BE8">
              <w:rPr>
                <w:rFonts w:hAnsi="標楷體" w:hint="eastAsia"/>
                <w:snapToGrid w:val="0"/>
                <w:szCs w:val="24"/>
              </w:rPr>
              <w:t>幫浦且水壓</w:t>
            </w:r>
            <w:proofErr w:type="gramEnd"/>
            <w:r w:rsidRPr="00674BE8">
              <w:rPr>
                <w:rFonts w:hAnsi="標楷體" w:hint="eastAsia"/>
                <w:snapToGrid w:val="0"/>
                <w:szCs w:val="24"/>
              </w:rPr>
              <w:t>達到</w:t>
            </w:r>
            <w:r w:rsidRPr="00674BE8">
              <w:rPr>
                <w:rFonts w:hAnsi="標楷體"/>
                <w:snapToGrid w:val="0"/>
                <w:szCs w:val="24"/>
              </w:rPr>
              <w:t>2</w:t>
            </w:r>
            <w:r w:rsidRPr="00674BE8">
              <w:rPr>
                <w:rFonts w:hAnsi="標楷體" w:hint="eastAsia"/>
                <w:snapToGrid w:val="0"/>
                <w:szCs w:val="24"/>
              </w:rPr>
              <w:t>±</w:t>
            </w:r>
            <w:r w:rsidRPr="00674BE8">
              <w:rPr>
                <w:rFonts w:hAnsi="標楷體"/>
                <w:snapToGrid w:val="0"/>
                <w:szCs w:val="24"/>
              </w:rPr>
              <w:t>1</w:t>
            </w:r>
            <w:r w:rsidRPr="00674BE8">
              <w:rPr>
                <w:rFonts w:hAnsi="標楷體" w:hint="eastAsia"/>
                <w:snapToGrid w:val="0"/>
                <w:szCs w:val="24"/>
              </w:rPr>
              <w:t xml:space="preserve"> </w:t>
            </w:r>
            <w:r w:rsidRPr="00674BE8">
              <w:rPr>
                <w:rFonts w:hAnsi="標楷體"/>
                <w:snapToGrid w:val="0"/>
                <w:szCs w:val="24"/>
              </w:rPr>
              <w:t>kg/</w:t>
            </w:r>
            <w:r w:rsidRPr="00674BE8">
              <w:rPr>
                <w:rFonts w:ascii="MS Mincho" w:eastAsia="MS Mincho" w:hAnsi="MS Mincho" w:cs="MS Mincho" w:hint="eastAsia"/>
                <w:snapToGrid w:val="0"/>
                <w:szCs w:val="24"/>
              </w:rPr>
              <w:t>㎠</w:t>
            </w:r>
            <w:r w:rsidRPr="00674BE8">
              <w:rPr>
                <w:rFonts w:hAnsi="標楷體" w:hint="eastAsia"/>
                <w:snapToGrid w:val="0"/>
                <w:szCs w:val="24"/>
              </w:rPr>
              <w:t>時即會自動停止之功能。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553EAF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6" w:hangingChars="236" w:hanging="566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(三)</w:t>
            </w:r>
            <w:r w:rsidRPr="00E80E8C">
              <w:rPr>
                <w:rFonts w:hAnsi="標楷體" w:hint="eastAsia"/>
                <w:snapToGrid w:val="0"/>
                <w:szCs w:val="24"/>
              </w:rPr>
              <w:t>如為葉片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迴轉式則需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有下列功能系統：</w:t>
            </w:r>
          </w:p>
        </w:tc>
        <w:tc>
          <w:tcPr>
            <w:tcW w:w="3839" w:type="dxa"/>
            <w:gridSpan w:val="5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1.</w:t>
            </w:r>
            <w:r w:rsidRPr="00E80E8C">
              <w:rPr>
                <w:rFonts w:hAnsi="標楷體" w:hint="eastAsia"/>
                <w:snapToGrid w:val="0"/>
                <w:szCs w:val="24"/>
              </w:rPr>
              <w:t>附自動監視系統：自動檢查冷卻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水閥進水口閥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之開關情形，並以燈號顯示。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744" w:hangingChars="118" w:hanging="28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2.</w:t>
            </w:r>
            <w:r w:rsidRPr="00E80E8C">
              <w:rPr>
                <w:rFonts w:hAnsi="標楷體" w:hint="eastAsia"/>
                <w:snapToGrid w:val="0"/>
                <w:szCs w:val="24"/>
              </w:rPr>
              <w:t>附自動及手動兩用吸水系統於按下按鈕即可自動完成吸水作業，或手動拉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桿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完成吸水作業。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Pr="00475949" w:rsidRDefault="00E8131D" w:rsidP="00562B3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" w:left="2409" w:hangingChars="1003" w:hanging="2407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(四)</w:t>
            </w:r>
            <w:r w:rsidR="00475949" w:rsidRPr="00475949">
              <w:rPr>
                <w:rFonts w:hAnsi="標楷體" w:hint="eastAsia"/>
                <w:snapToGrid w:val="0"/>
                <w:szCs w:val="24"/>
              </w:rPr>
              <w:t>水箱至消防幫浦供水開關應為電動</w:t>
            </w:r>
            <w:proofErr w:type="gramStart"/>
            <w:r w:rsidR="00475949" w:rsidRPr="00475949">
              <w:rPr>
                <w:rFonts w:hAnsi="標楷體" w:hint="eastAsia"/>
                <w:snapToGrid w:val="0"/>
                <w:szCs w:val="24"/>
              </w:rPr>
              <w:t>式或氣</w:t>
            </w:r>
            <w:proofErr w:type="gramEnd"/>
            <w:r w:rsidR="00475949" w:rsidRPr="00475949">
              <w:rPr>
                <w:rFonts w:hAnsi="標楷體" w:hint="eastAsia"/>
                <w:snapToGrid w:val="0"/>
                <w:szCs w:val="24"/>
              </w:rPr>
              <w:t>動式設計，並可手動開啟。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Pr="00475949" w:rsidRDefault="00E8131D" w:rsidP="00562B3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4" w:hangingChars="235" w:hanging="564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(五)</w:t>
            </w:r>
            <w:r w:rsidR="00C260E2">
              <w:rPr>
                <w:rFonts w:hAnsi="標楷體" w:hint="eastAsia"/>
                <w:snapToGrid w:val="0"/>
                <w:szCs w:val="24"/>
              </w:rPr>
              <w:t>消防幫浦應為一</w:t>
            </w:r>
            <w:r w:rsidR="00475949" w:rsidRPr="00475949">
              <w:rPr>
                <w:rFonts w:hAnsi="標楷體" w:hint="eastAsia"/>
                <w:snapToGrid w:val="0"/>
                <w:szCs w:val="24"/>
              </w:rPr>
              <w:t>段式以上離心幫浦。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E8131D" w:rsidP="00E8131D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5" w:left="461" w:hangingChars="177" w:hanging="425"/>
              <w:rPr>
                <w:snapToGrid w:val="0"/>
              </w:rPr>
            </w:pPr>
            <w:r>
              <w:rPr>
                <w:rFonts w:hAnsi="標楷體" w:hint="eastAsia"/>
                <w:snapToGrid w:val="0"/>
                <w:color w:val="000000"/>
                <w:szCs w:val="24"/>
              </w:rPr>
              <w:t>(六)</w:t>
            </w:r>
            <w:proofErr w:type="gramStart"/>
            <w:r w:rsidR="00475949" w:rsidRPr="006C306D">
              <w:rPr>
                <w:rFonts w:hAnsi="標楷體" w:hint="eastAsia"/>
                <w:snapToGrid w:val="0"/>
                <w:color w:val="000000"/>
                <w:szCs w:val="24"/>
              </w:rPr>
              <w:t>當幫浦</w:t>
            </w:r>
            <w:proofErr w:type="gramEnd"/>
            <w:r w:rsidR="00475949" w:rsidRPr="006C306D">
              <w:rPr>
                <w:rFonts w:hAnsi="標楷體" w:hint="eastAsia"/>
                <w:snapToGrid w:val="0"/>
                <w:color w:val="000000"/>
                <w:szCs w:val="24"/>
              </w:rPr>
              <w:t>本體溫度因作業時間過長或幫浦空轉過度導致溫度</w:t>
            </w:r>
            <w:r w:rsidR="00475949">
              <w:rPr>
                <w:rFonts w:hAnsi="標楷體" w:hint="eastAsia"/>
                <w:snapToGrid w:val="0"/>
                <w:color w:val="000000"/>
                <w:szCs w:val="24"/>
              </w:rPr>
              <w:t>過</w:t>
            </w:r>
            <w:r w:rsidR="00475949" w:rsidRPr="006C306D">
              <w:rPr>
                <w:rFonts w:hAnsi="標楷體" w:hint="eastAsia"/>
                <w:snapToGrid w:val="0"/>
                <w:color w:val="000000"/>
                <w:szCs w:val="24"/>
              </w:rPr>
              <w:t>高有聲響警告，並降溫之功能。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E8131D" w:rsidP="00562B3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4" w:hangingChars="235" w:hanging="564"/>
              <w:rPr>
                <w:snapToGrid w:val="0"/>
              </w:rPr>
            </w:pPr>
            <w:r>
              <w:rPr>
                <w:rFonts w:hAnsi="標楷體" w:hint="eastAsia"/>
                <w:snapToGrid w:val="0"/>
                <w:color w:val="000000"/>
                <w:szCs w:val="24"/>
              </w:rPr>
              <w:t>(七)</w:t>
            </w:r>
            <w:proofErr w:type="gramStart"/>
            <w:r w:rsidR="00475949" w:rsidRPr="00237156">
              <w:rPr>
                <w:rFonts w:hAnsi="標楷體" w:hint="eastAsia"/>
                <w:snapToGrid w:val="0"/>
                <w:color w:val="000000"/>
                <w:szCs w:val="24"/>
              </w:rPr>
              <w:t>主幫浦</w:t>
            </w:r>
            <w:proofErr w:type="gramEnd"/>
            <w:r w:rsidR="00475949" w:rsidRPr="00237156">
              <w:rPr>
                <w:rFonts w:hAnsi="標楷體" w:hint="eastAsia"/>
                <w:snapToGrid w:val="0"/>
                <w:color w:val="000000"/>
                <w:szCs w:val="24"/>
              </w:rPr>
              <w:t>及真空</w:t>
            </w:r>
            <w:proofErr w:type="gramStart"/>
            <w:r w:rsidR="00475949" w:rsidRPr="00237156">
              <w:rPr>
                <w:rFonts w:hAnsi="標楷體" w:hint="eastAsia"/>
                <w:snapToGrid w:val="0"/>
                <w:color w:val="000000"/>
                <w:szCs w:val="24"/>
              </w:rPr>
              <w:t>幫浦須為</w:t>
            </w:r>
            <w:proofErr w:type="gramEnd"/>
            <w:r w:rsidR="00475949" w:rsidRPr="00237156">
              <w:rPr>
                <w:rFonts w:hAnsi="標楷體" w:hint="eastAsia"/>
                <w:snapToGrid w:val="0"/>
                <w:color w:val="000000"/>
                <w:szCs w:val="24"/>
              </w:rPr>
              <w:t>同一廠牌，以確保整體性能。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bookmarkEnd w:id="0"/>
    <w:bookmarkEnd w:id="1"/>
    <w:p w:rsidR="003100EC" w:rsidRPr="00DF7E7D" w:rsidRDefault="003100EC" w:rsidP="00423B8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備註：廠商投標之規格型錄及補充文件若為</w:t>
      </w:r>
      <w:r w:rsidR="00F6622D">
        <w:rPr>
          <w:rFonts w:ascii="標楷體" w:eastAsia="標楷體" w:hAnsi="標楷體" w:hint="eastAsia"/>
          <w:b/>
          <w:sz w:val="36"/>
          <w:szCs w:val="36"/>
        </w:rPr>
        <w:t>外</w:t>
      </w:r>
      <w:r>
        <w:rPr>
          <w:rFonts w:ascii="標楷體" w:eastAsia="標楷體" w:hAnsi="標楷體" w:hint="eastAsia"/>
          <w:b/>
          <w:sz w:val="36"/>
          <w:szCs w:val="36"/>
        </w:rPr>
        <w:t>文</w:t>
      </w:r>
      <w:r w:rsidR="00C81D4F">
        <w:rPr>
          <w:rFonts w:ascii="標楷體" w:eastAsia="標楷體" w:hAnsi="標楷體" w:hint="eastAsia"/>
          <w:b/>
          <w:sz w:val="36"/>
          <w:szCs w:val="36"/>
        </w:rPr>
        <w:t>應</w:t>
      </w:r>
      <w:r>
        <w:rPr>
          <w:rFonts w:ascii="標楷體" w:eastAsia="標楷體" w:hAnsi="標楷體" w:hint="eastAsia"/>
          <w:b/>
          <w:sz w:val="36"/>
          <w:szCs w:val="36"/>
        </w:rPr>
        <w:t>檢附中文</w:t>
      </w:r>
      <w:r w:rsidR="00B00E78">
        <w:rPr>
          <w:rFonts w:ascii="標楷體" w:eastAsia="標楷體" w:hAnsi="標楷體" w:hint="eastAsia"/>
          <w:b/>
          <w:sz w:val="36"/>
          <w:szCs w:val="36"/>
        </w:rPr>
        <w:t>重點翻譯。</w:t>
      </w:r>
    </w:p>
    <w:sectPr w:rsidR="003100EC" w:rsidRPr="00DF7E7D" w:rsidSect="00DE591A">
      <w:footerReference w:type="default" r:id="rId8"/>
      <w:pgSz w:w="16838" w:h="11906" w:orient="landscape" w:code="9"/>
      <w:pgMar w:top="567" w:right="851" w:bottom="568" w:left="851" w:header="851" w:footer="851" w:gutter="0"/>
      <w:cols w:space="425"/>
      <w:docGrid w:type="lines" w:linePitch="351" w:charSpace="4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03" w:rsidRDefault="00DC0203" w:rsidP="005C67DC">
      <w:r>
        <w:separator/>
      </w:r>
    </w:p>
  </w:endnote>
  <w:endnote w:type="continuationSeparator" w:id="0">
    <w:p w:rsidR="00DC0203" w:rsidRDefault="00DC0203" w:rsidP="005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07356"/>
      <w:docPartObj>
        <w:docPartGallery w:val="Page Numbers (Bottom of Page)"/>
        <w:docPartUnique/>
      </w:docPartObj>
    </w:sdtPr>
    <w:sdtEndPr/>
    <w:sdtContent>
      <w:p w:rsidR="00423B87" w:rsidRDefault="00423B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7F" w:rsidRPr="000C0B7F">
          <w:rPr>
            <w:noProof/>
            <w:lang w:val="zh-TW"/>
          </w:rPr>
          <w:t>2</w:t>
        </w:r>
        <w:r>
          <w:fldChar w:fldCharType="end"/>
        </w:r>
      </w:p>
    </w:sdtContent>
  </w:sdt>
  <w:p w:rsidR="00423B87" w:rsidRDefault="00423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03" w:rsidRDefault="00DC0203" w:rsidP="005C67DC">
      <w:r>
        <w:separator/>
      </w:r>
    </w:p>
  </w:footnote>
  <w:footnote w:type="continuationSeparator" w:id="0">
    <w:p w:rsidR="00DC0203" w:rsidRDefault="00DC0203" w:rsidP="005C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1BB"/>
    <w:multiLevelType w:val="multilevel"/>
    <w:tmpl w:val="2F5A0E78"/>
    <w:styleLink w:val="11"/>
    <w:lvl w:ilvl="0">
      <w:start w:val="1"/>
      <w:numFmt w:val="ideographLegalTraditional"/>
      <w:pStyle w:val="1"/>
      <w:lvlText w:val="%1."/>
      <w:lvlJc w:val="left"/>
      <w:pPr>
        <w:tabs>
          <w:tab w:val="num" w:pos="480"/>
        </w:tabs>
        <w:ind w:left="454" w:hanging="45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>
      <w:start w:val="1"/>
      <w:numFmt w:val="taiwaneseCountingThousand"/>
      <w:pStyle w:val="2"/>
      <w:lvlText w:val="%2."/>
      <w:lvlJc w:val="left"/>
      <w:pPr>
        <w:tabs>
          <w:tab w:val="num" w:pos="907"/>
        </w:tabs>
        <w:ind w:left="907" w:hanging="510"/>
      </w:pPr>
      <w:rPr>
        <w:rFonts w:hint="eastAsia"/>
        <w:b w:val="0"/>
        <w:i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758"/>
        </w:tabs>
        <w:ind w:left="1758" w:hanging="340"/>
      </w:pPr>
      <w:rPr>
        <w:rFonts w:hint="eastAsia"/>
        <w:b w:val="0"/>
        <w:i w:val="0"/>
        <w:sz w:val="24"/>
        <w:szCs w:val="24"/>
      </w:rPr>
    </w:lvl>
    <w:lvl w:ilvl="4">
      <w:start w:val="1"/>
      <w:numFmt w:val="ideographTraditional"/>
      <w:pStyle w:val="20"/>
      <w:lvlText w:val="%5、"/>
      <w:lvlJc w:val="left"/>
      <w:pPr>
        <w:tabs>
          <w:tab w:val="num" w:pos="2068"/>
        </w:tabs>
        <w:ind w:left="2042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65"/>
        </w:tabs>
        <w:ind w:left="2439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36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259"/>
        </w:tabs>
        <w:ind w:left="3233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56"/>
        </w:tabs>
        <w:ind w:left="3630" w:hanging="454"/>
      </w:pPr>
      <w:rPr>
        <w:rFonts w:hint="eastAsia"/>
      </w:rPr>
    </w:lvl>
  </w:abstractNum>
  <w:abstractNum w:abstractNumId="1" w15:restartNumberingAfterBreak="0">
    <w:nsid w:val="09A94541"/>
    <w:multiLevelType w:val="hybridMultilevel"/>
    <w:tmpl w:val="22847FCE"/>
    <w:lvl w:ilvl="0" w:tplc="4F42F7B6">
      <w:start w:val="1"/>
      <w:numFmt w:val="decimal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" w15:restartNumberingAfterBreak="0">
    <w:nsid w:val="10542A66"/>
    <w:multiLevelType w:val="hybridMultilevel"/>
    <w:tmpl w:val="83C48538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BA118F3"/>
    <w:multiLevelType w:val="hybridMultilevel"/>
    <w:tmpl w:val="7622828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4" w15:restartNumberingAfterBreak="0">
    <w:nsid w:val="1D4F0A3E"/>
    <w:multiLevelType w:val="hybridMultilevel"/>
    <w:tmpl w:val="2B3AD764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F4678C1"/>
    <w:multiLevelType w:val="hybridMultilevel"/>
    <w:tmpl w:val="810C2EE4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6" w15:restartNumberingAfterBreak="0">
    <w:nsid w:val="2C737B6B"/>
    <w:multiLevelType w:val="hybridMultilevel"/>
    <w:tmpl w:val="F746D286"/>
    <w:lvl w:ilvl="0" w:tplc="4F42F7B6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31F13128"/>
    <w:multiLevelType w:val="hybridMultilevel"/>
    <w:tmpl w:val="0E703EBA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35D7FDC"/>
    <w:multiLevelType w:val="hybridMultilevel"/>
    <w:tmpl w:val="DF5430D4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9" w15:restartNumberingAfterBreak="0">
    <w:nsid w:val="4BA77B74"/>
    <w:multiLevelType w:val="hybridMultilevel"/>
    <w:tmpl w:val="834A3BF2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0" w15:restartNumberingAfterBreak="0">
    <w:nsid w:val="50657BC3"/>
    <w:multiLevelType w:val="hybridMultilevel"/>
    <w:tmpl w:val="294CA54A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15449A4"/>
    <w:multiLevelType w:val="hybridMultilevel"/>
    <w:tmpl w:val="9E9EB82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2" w15:restartNumberingAfterBreak="0">
    <w:nsid w:val="51BF4EBD"/>
    <w:multiLevelType w:val="hybridMultilevel"/>
    <w:tmpl w:val="3D80A822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2152348"/>
    <w:multiLevelType w:val="hybridMultilevel"/>
    <w:tmpl w:val="810C2EE4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4" w15:restartNumberingAfterBreak="0">
    <w:nsid w:val="5464528A"/>
    <w:multiLevelType w:val="hybridMultilevel"/>
    <w:tmpl w:val="87C2AB30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5" w15:restartNumberingAfterBreak="0">
    <w:nsid w:val="61D61750"/>
    <w:multiLevelType w:val="hybridMultilevel"/>
    <w:tmpl w:val="1B26E8AE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6" w15:restartNumberingAfterBreak="0">
    <w:nsid w:val="6A5D404A"/>
    <w:multiLevelType w:val="hybridMultilevel"/>
    <w:tmpl w:val="22847FCE"/>
    <w:lvl w:ilvl="0" w:tplc="4F42F7B6">
      <w:start w:val="1"/>
      <w:numFmt w:val="decimal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6FF01B5F"/>
    <w:multiLevelType w:val="hybridMultilevel"/>
    <w:tmpl w:val="7C6487D2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8" w15:restartNumberingAfterBreak="0">
    <w:nsid w:val="789F4DA2"/>
    <w:multiLevelType w:val="hybridMultilevel"/>
    <w:tmpl w:val="9E9EB82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9" w15:restartNumberingAfterBreak="0">
    <w:nsid w:val="7AE32965"/>
    <w:multiLevelType w:val="hybridMultilevel"/>
    <w:tmpl w:val="79DC886E"/>
    <w:lvl w:ilvl="0" w:tplc="47B8DD44">
      <w:start w:val="1"/>
      <w:numFmt w:val="decimal"/>
      <w:lvlText w:val="%1."/>
      <w:lvlJc w:val="left"/>
      <w:pPr>
        <w:tabs>
          <w:tab w:val="num" w:pos="450"/>
        </w:tabs>
        <w:ind w:left="450" w:firstLine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num w:numId="1">
    <w:abstractNumId w:val="0"/>
    <w:lvlOverride w:ilvl="0"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6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7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8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9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1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2">
    <w:abstractNumId w:val="14"/>
  </w:num>
  <w:num w:numId="13">
    <w:abstractNumId w:val="8"/>
  </w:num>
  <w:num w:numId="1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  <w:num w:numId="21">
    <w:abstractNumId w:val="3"/>
  </w:num>
  <w:num w:numId="22">
    <w:abstractNumId w:val="6"/>
  </w:num>
  <w:num w:numId="23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6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7">
    <w:abstractNumId w:val="18"/>
  </w:num>
  <w:num w:numId="28">
    <w:abstractNumId w:val="1"/>
  </w:num>
  <w:num w:numId="29">
    <w:abstractNumId w:val="5"/>
  </w:num>
  <w:num w:numId="3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1">
    <w:abstractNumId w:val="12"/>
  </w:num>
  <w:num w:numId="32">
    <w:abstractNumId w:val="10"/>
  </w:num>
  <w:num w:numId="33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6">
    <w:abstractNumId w:val="7"/>
  </w:num>
  <w:num w:numId="37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8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9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1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455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1"/>
    <w:rsid w:val="000047DE"/>
    <w:rsid w:val="00015252"/>
    <w:rsid w:val="0003774C"/>
    <w:rsid w:val="00082E6A"/>
    <w:rsid w:val="000B3C08"/>
    <w:rsid w:val="000B5194"/>
    <w:rsid w:val="000C0B7F"/>
    <w:rsid w:val="000C5DBE"/>
    <w:rsid w:val="000E2E90"/>
    <w:rsid w:val="00107CE6"/>
    <w:rsid w:val="0012040D"/>
    <w:rsid w:val="001314E9"/>
    <w:rsid w:val="00135C61"/>
    <w:rsid w:val="0017294C"/>
    <w:rsid w:val="001742BC"/>
    <w:rsid w:val="0017624E"/>
    <w:rsid w:val="001A5534"/>
    <w:rsid w:val="001B13DC"/>
    <w:rsid w:val="00211585"/>
    <w:rsid w:val="002540B1"/>
    <w:rsid w:val="00294A72"/>
    <w:rsid w:val="002A6175"/>
    <w:rsid w:val="002B4383"/>
    <w:rsid w:val="002F046B"/>
    <w:rsid w:val="00302110"/>
    <w:rsid w:val="003100EC"/>
    <w:rsid w:val="00311770"/>
    <w:rsid w:val="00320BF3"/>
    <w:rsid w:val="003252D4"/>
    <w:rsid w:val="003334AE"/>
    <w:rsid w:val="003459C6"/>
    <w:rsid w:val="00375D98"/>
    <w:rsid w:val="003A5742"/>
    <w:rsid w:val="003E3571"/>
    <w:rsid w:val="00423B87"/>
    <w:rsid w:val="004555E7"/>
    <w:rsid w:val="004668BC"/>
    <w:rsid w:val="00475949"/>
    <w:rsid w:val="004847C7"/>
    <w:rsid w:val="004A58C7"/>
    <w:rsid w:val="005213CC"/>
    <w:rsid w:val="00556BCC"/>
    <w:rsid w:val="00562B39"/>
    <w:rsid w:val="005C53D8"/>
    <w:rsid w:val="005C67DC"/>
    <w:rsid w:val="005E3C5D"/>
    <w:rsid w:val="00633422"/>
    <w:rsid w:val="00636568"/>
    <w:rsid w:val="00657C48"/>
    <w:rsid w:val="006847AF"/>
    <w:rsid w:val="006B7CA5"/>
    <w:rsid w:val="007043F8"/>
    <w:rsid w:val="007109BB"/>
    <w:rsid w:val="00733777"/>
    <w:rsid w:val="0075261E"/>
    <w:rsid w:val="00756F4A"/>
    <w:rsid w:val="0077111D"/>
    <w:rsid w:val="007805DC"/>
    <w:rsid w:val="0079440E"/>
    <w:rsid w:val="007B26DF"/>
    <w:rsid w:val="007F6421"/>
    <w:rsid w:val="00837DAA"/>
    <w:rsid w:val="008457F0"/>
    <w:rsid w:val="00856A54"/>
    <w:rsid w:val="008741EF"/>
    <w:rsid w:val="008822C4"/>
    <w:rsid w:val="008A1BF1"/>
    <w:rsid w:val="008C1A96"/>
    <w:rsid w:val="008F1F76"/>
    <w:rsid w:val="0090743A"/>
    <w:rsid w:val="009348E2"/>
    <w:rsid w:val="009745A5"/>
    <w:rsid w:val="0099620E"/>
    <w:rsid w:val="009B2095"/>
    <w:rsid w:val="009E142C"/>
    <w:rsid w:val="00A222F6"/>
    <w:rsid w:val="00A76654"/>
    <w:rsid w:val="00A77FF2"/>
    <w:rsid w:val="00A9363C"/>
    <w:rsid w:val="00AC05EF"/>
    <w:rsid w:val="00AC237E"/>
    <w:rsid w:val="00AF3FA3"/>
    <w:rsid w:val="00B00E78"/>
    <w:rsid w:val="00B96016"/>
    <w:rsid w:val="00BA0599"/>
    <w:rsid w:val="00BD0166"/>
    <w:rsid w:val="00BD7C84"/>
    <w:rsid w:val="00C07136"/>
    <w:rsid w:val="00C260E2"/>
    <w:rsid w:val="00C34C74"/>
    <w:rsid w:val="00C34EC9"/>
    <w:rsid w:val="00C41CFC"/>
    <w:rsid w:val="00C46AA7"/>
    <w:rsid w:val="00C672A1"/>
    <w:rsid w:val="00C81D4F"/>
    <w:rsid w:val="00C97EA0"/>
    <w:rsid w:val="00CC2F4C"/>
    <w:rsid w:val="00CD592E"/>
    <w:rsid w:val="00CF4F20"/>
    <w:rsid w:val="00D050C9"/>
    <w:rsid w:val="00D72EFA"/>
    <w:rsid w:val="00DB03CD"/>
    <w:rsid w:val="00DB3207"/>
    <w:rsid w:val="00DC0203"/>
    <w:rsid w:val="00DD6668"/>
    <w:rsid w:val="00DE50BF"/>
    <w:rsid w:val="00DE591A"/>
    <w:rsid w:val="00DF2AD7"/>
    <w:rsid w:val="00DF7E7D"/>
    <w:rsid w:val="00E01573"/>
    <w:rsid w:val="00E133FF"/>
    <w:rsid w:val="00E643EB"/>
    <w:rsid w:val="00E73B84"/>
    <w:rsid w:val="00E8131D"/>
    <w:rsid w:val="00F13D37"/>
    <w:rsid w:val="00F6622D"/>
    <w:rsid w:val="00F833FC"/>
    <w:rsid w:val="00F90FCD"/>
    <w:rsid w:val="00FB4B1D"/>
    <w:rsid w:val="00FC645E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DFD8"/>
  <w15:docId w15:val="{87C6ABE8-5D15-4B89-AFCC-7FAA893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0">
    <w:name w:val="heading 2"/>
    <w:aliases w:val="5"/>
    <w:next w:val="4"/>
    <w:link w:val="21"/>
    <w:qFormat/>
    <w:rsid w:val="0090743A"/>
    <w:pPr>
      <w:numPr>
        <w:ilvl w:val="4"/>
        <w:numId w:val="1"/>
      </w:numPr>
      <w:tabs>
        <w:tab w:val="num" w:pos="2410"/>
      </w:tabs>
      <w:ind w:left="2410" w:hanging="567"/>
      <w:outlineLvl w:val="1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C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列出段落"/>
    <w:basedOn w:val="a"/>
    <w:qFormat/>
    <w:rsid w:val="00135C61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Web">
    <w:name w:val="Normal (Web)"/>
    <w:basedOn w:val="a"/>
    <w:uiPriority w:val="99"/>
    <w:unhideWhenUsed/>
    <w:rsid w:val="00135C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D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C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１"/>
    <w:basedOn w:val="a"/>
    <w:rsid w:val="003459C6"/>
    <w:pPr>
      <w:ind w:leftChars="200" w:left="480"/>
    </w:pPr>
    <w:rPr>
      <w:rFonts w:ascii="標楷體" w:eastAsia="標楷體"/>
    </w:rPr>
  </w:style>
  <w:style w:type="paragraph" w:customStyle="1" w:styleId="3">
    <w:name w:val="標題 3 + (符號) 標楷體"/>
    <w:aliases w:val="13 點,凸出:  3 字元,左 2.16 字元,第一行:  -3 字元"/>
    <w:basedOn w:val="a"/>
    <w:link w:val="30"/>
    <w:rsid w:val="003459C6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napToGrid w:val="0"/>
      <w:spacing w:line="300" w:lineRule="auto"/>
      <w:ind w:leftChars="108" w:left="1039" w:right="-1004" w:hangingChars="300" w:hanging="780"/>
    </w:pPr>
    <w:rPr>
      <w:rFonts w:ascii="標楷體" w:eastAsia="標楷體" w:hAnsi="標楷體"/>
      <w:sz w:val="26"/>
      <w:szCs w:val="20"/>
    </w:rPr>
  </w:style>
  <w:style w:type="character" w:customStyle="1" w:styleId="30">
    <w:name w:val="標題 3 + (符號) 標楷體 字元"/>
    <w:aliases w:val="13 點 字元,凸出:  3 字元 字元,左 2.16 字元 字元,第一行:  -3 字元 字元 字元"/>
    <w:link w:val="3"/>
    <w:rsid w:val="003459C6"/>
    <w:rPr>
      <w:rFonts w:ascii="標楷體" w:eastAsia="標楷體" w:hAnsi="標楷體" w:cs="Times New Roman"/>
      <w:sz w:val="26"/>
      <w:szCs w:val="20"/>
    </w:rPr>
  </w:style>
  <w:style w:type="paragraph" w:customStyle="1" w:styleId="aa">
    <w:name w:val="（一）"/>
    <w:basedOn w:val="a"/>
    <w:rsid w:val="00856A54"/>
    <w:pPr>
      <w:ind w:leftChars="100" w:left="240"/>
    </w:pPr>
    <w:rPr>
      <w:rFonts w:ascii="標楷體"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標題 2 字元"/>
    <w:aliases w:val="5 字元"/>
    <w:basedOn w:val="a0"/>
    <w:link w:val="20"/>
    <w:rsid w:val="0090743A"/>
    <w:rPr>
      <w:rFonts w:ascii="標楷體" w:eastAsia="標楷體" w:hAnsi="Times New Roman" w:cs="Times New Roman"/>
      <w:szCs w:val="20"/>
    </w:rPr>
  </w:style>
  <w:style w:type="paragraph" w:customStyle="1" w:styleId="1">
    <w:name w:val="1"/>
    <w:basedOn w:val="a"/>
    <w:link w:val="10"/>
    <w:qFormat/>
    <w:rsid w:val="0090743A"/>
    <w:pPr>
      <w:numPr>
        <w:numId w:val="1"/>
      </w:numPr>
      <w:adjustRightInd w:val="0"/>
      <w:snapToGrid w:val="0"/>
      <w:jc w:val="both"/>
    </w:pPr>
    <w:rPr>
      <w:rFonts w:ascii="標楷體" w:eastAsia="標楷體" w:hAnsi="標楷體"/>
      <w:kern w:val="24"/>
      <w:lang w:val="x-none" w:eastAsia="x-none"/>
    </w:rPr>
  </w:style>
  <w:style w:type="paragraph" w:customStyle="1" w:styleId="2">
    <w:name w:val="2"/>
    <w:basedOn w:val="a"/>
    <w:link w:val="22"/>
    <w:qFormat/>
    <w:rsid w:val="0090743A"/>
    <w:pPr>
      <w:numPr>
        <w:ilvl w:val="1"/>
        <w:numId w:val="1"/>
      </w:numPr>
      <w:tabs>
        <w:tab w:val="left" w:pos="1276"/>
      </w:tabs>
      <w:adjustRightInd w:val="0"/>
      <w:snapToGrid w:val="0"/>
      <w:ind w:left="964"/>
      <w:jc w:val="both"/>
    </w:pPr>
    <w:rPr>
      <w:rFonts w:ascii="標楷體" w:eastAsia="標楷體" w:hAnsi="標楷體"/>
      <w:kern w:val="24"/>
      <w:lang w:val="x-none" w:eastAsia="x-none"/>
    </w:rPr>
  </w:style>
  <w:style w:type="paragraph" w:customStyle="1" w:styleId="31">
    <w:name w:val="3"/>
    <w:basedOn w:val="a"/>
    <w:link w:val="32"/>
    <w:autoRedefine/>
    <w:qFormat/>
    <w:rsid w:val="00D72EFA"/>
    <w:pPr>
      <w:adjustRightInd w:val="0"/>
      <w:snapToGrid w:val="0"/>
      <w:ind w:left="461" w:hangingChars="192" w:hanging="461"/>
      <w:jc w:val="both"/>
    </w:pPr>
    <w:rPr>
      <w:rFonts w:ascii="標楷體" w:eastAsia="標楷體" w:hAnsi="標楷體"/>
      <w:color w:val="000000"/>
      <w:lang w:val="x-none" w:eastAsia="x-none"/>
    </w:rPr>
  </w:style>
  <w:style w:type="character" w:customStyle="1" w:styleId="22">
    <w:name w:val="2 字元"/>
    <w:link w:val="2"/>
    <w:rsid w:val="0090743A"/>
    <w:rPr>
      <w:rFonts w:ascii="標楷體" w:eastAsia="標楷體" w:hAnsi="標楷體" w:cs="Times New Roman"/>
      <w:kern w:val="24"/>
      <w:szCs w:val="24"/>
      <w:lang w:val="x-none" w:eastAsia="x-none"/>
    </w:rPr>
  </w:style>
  <w:style w:type="paragraph" w:customStyle="1" w:styleId="4">
    <w:name w:val="4"/>
    <w:basedOn w:val="ad"/>
    <w:link w:val="40"/>
    <w:qFormat/>
    <w:rsid w:val="0090743A"/>
    <w:pPr>
      <w:numPr>
        <w:ilvl w:val="3"/>
        <w:numId w:val="1"/>
      </w:numPr>
      <w:tabs>
        <w:tab w:val="clear" w:pos="1758"/>
        <w:tab w:val="num" w:pos="2278"/>
      </w:tabs>
      <w:kinsoku w:val="0"/>
      <w:overflowPunct w:val="0"/>
      <w:adjustRightInd w:val="0"/>
      <w:snapToGrid w:val="0"/>
      <w:ind w:leftChars="0" w:left="2278" w:hanging="480"/>
    </w:pPr>
    <w:rPr>
      <w:rFonts w:ascii="標楷體" w:eastAsia="標楷體" w:hAnsi="標楷體"/>
      <w:lang w:val="x-none" w:eastAsia="x-none"/>
    </w:rPr>
  </w:style>
  <w:style w:type="character" w:customStyle="1" w:styleId="32">
    <w:name w:val="3 字元"/>
    <w:link w:val="31"/>
    <w:rsid w:val="00D72EFA"/>
    <w:rPr>
      <w:rFonts w:ascii="標楷體" w:eastAsia="標楷體" w:hAnsi="標楷體" w:cs="Times New Roman"/>
      <w:color w:val="000000"/>
      <w:szCs w:val="24"/>
      <w:lang w:val="x-none" w:eastAsia="x-none"/>
    </w:rPr>
  </w:style>
  <w:style w:type="numbering" w:customStyle="1" w:styleId="11">
    <w:name w:val="目前的清單11"/>
    <w:rsid w:val="0090743A"/>
    <w:pPr>
      <w:numPr>
        <w:numId w:val="2"/>
      </w:numPr>
    </w:pPr>
  </w:style>
  <w:style w:type="paragraph" w:styleId="ad">
    <w:name w:val="List Paragraph"/>
    <w:basedOn w:val="a"/>
    <w:uiPriority w:val="34"/>
    <w:qFormat/>
    <w:rsid w:val="0090743A"/>
    <w:pPr>
      <w:ind w:leftChars="200" w:left="480"/>
    </w:pPr>
  </w:style>
  <w:style w:type="character" w:customStyle="1" w:styleId="10">
    <w:name w:val="1 字元"/>
    <w:link w:val="1"/>
    <w:rsid w:val="007F6421"/>
    <w:rPr>
      <w:rFonts w:ascii="標楷體" w:eastAsia="標楷體" w:hAnsi="標楷體" w:cs="Times New Roman"/>
      <w:kern w:val="24"/>
      <w:szCs w:val="24"/>
      <w:lang w:val="x-none" w:eastAsia="x-none"/>
    </w:rPr>
  </w:style>
  <w:style w:type="character" w:customStyle="1" w:styleId="40">
    <w:name w:val="4 字元"/>
    <w:link w:val="4"/>
    <w:rsid w:val="007F6421"/>
    <w:rPr>
      <w:rFonts w:ascii="標楷體" w:eastAsia="標楷體" w:hAnsi="標楷體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0308-2C99-44D3-8D89-54222B69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TFD</cp:lastModifiedBy>
  <cp:revision>24</cp:revision>
  <cp:lastPrinted>2017-12-07T08:12:00Z</cp:lastPrinted>
  <dcterms:created xsi:type="dcterms:W3CDTF">2017-12-05T07:40:00Z</dcterms:created>
  <dcterms:modified xsi:type="dcterms:W3CDTF">2019-09-25T00:45:00Z</dcterms:modified>
</cp:coreProperties>
</file>