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549" w:rsidRDefault="00B23549">
      <w:pPr>
        <w:pStyle w:val="af7"/>
        <w:snapToGrid w:val="0"/>
        <w:ind w:right="240" w:firstLineChars="100" w:firstLine="240"/>
        <w:jc w:val="right"/>
        <w:outlineLvl w:val="0"/>
        <w:rPr>
          <w:rFonts w:ascii="Times New Roman" w:eastAsia="標楷體" w:hAnsi="Times New Roman"/>
          <w:b/>
          <w:szCs w:val="28"/>
        </w:rPr>
      </w:pPr>
    </w:p>
    <w:p w:rsidR="00B23549" w:rsidRDefault="002F327A">
      <w:pPr>
        <w:pStyle w:val="af7"/>
        <w:snapToGrid w:val="0"/>
        <w:ind w:firstLineChars="100" w:firstLine="320"/>
        <w:jc w:val="center"/>
        <w:outlineLvl w:val="0"/>
        <w:rPr>
          <w:rFonts w:ascii="Times New Roman" w:eastAsia="標楷體" w:hAnsi="Times New Roman"/>
          <w:sz w:val="28"/>
          <w:szCs w:val="28"/>
        </w:rPr>
      </w:pPr>
      <w:r>
        <w:rPr>
          <w:rFonts w:ascii="標楷體" w:eastAsia="標楷體" w:hAnsi="標楷體" w:hint="eastAsia"/>
          <w:sz w:val="32"/>
          <w:szCs w:val="32"/>
        </w:rPr>
        <w:t>臺北市政府消防局</w:t>
      </w:r>
    </w:p>
    <w:p w:rsidR="00B23549" w:rsidRDefault="002F327A">
      <w:pPr>
        <w:pStyle w:val="af7"/>
        <w:snapToGrid w:val="0"/>
        <w:ind w:firstLineChars="100" w:firstLine="320"/>
        <w:jc w:val="center"/>
        <w:outlineLvl w:val="0"/>
        <w:rPr>
          <w:rFonts w:ascii="Times New Roman" w:eastAsia="標楷體" w:hAnsi="Times New Roman"/>
          <w:sz w:val="28"/>
          <w:szCs w:val="28"/>
        </w:rPr>
      </w:pPr>
      <w:r>
        <w:rPr>
          <w:rFonts w:ascii="標楷體" w:eastAsia="標楷體" w:hAnsi="標楷體" w:hint="eastAsia"/>
          <w:sz w:val="32"/>
          <w:szCs w:val="32"/>
        </w:rPr>
        <w:t>「10</w:t>
      </w:r>
      <w:r>
        <w:rPr>
          <w:rFonts w:ascii="標楷體" w:eastAsia="標楷體" w:hAnsi="標楷體"/>
          <w:sz w:val="32"/>
          <w:szCs w:val="32"/>
        </w:rPr>
        <w:t>9</w:t>
      </w:r>
      <w:r>
        <w:rPr>
          <w:rFonts w:ascii="標楷體" w:eastAsia="標楷體" w:hAnsi="標楷體" w:hint="eastAsia"/>
          <w:sz w:val="32"/>
          <w:szCs w:val="32"/>
        </w:rPr>
        <w:t>年度</w:t>
      </w:r>
      <w:r>
        <w:rPr>
          <w:rFonts w:ascii="標楷體" w:eastAsia="標楷體" w:hAnsi="標楷體" w:hint="eastAsia"/>
          <w:sz w:val="32"/>
          <w:szCs w:val="28"/>
        </w:rPr>
        <w:t>大型水箱消防車3輛及小型水箱消防車6輛</w:t>
      </w:r>
      <w:r>
        <w:rPr>
          <w:rFonts w:ascii="標楷體" w:eastAsia="標楷體" w:hAnsi="標楷體" w:hint="eastAsia"/>
          <w:sz w:val="32"/>
          <w:szCs w:val="32"/>
        </w:rPr>
        <w:t>採購案」</w:t>
      </w:r>
    </w:p>
    <w:p w:rsidR="00B23549" w:rsidRDefault="002F327A">
      <w:pPr>
        <w:pStyle w:val="af7"/>
        <w:snapToGrid w:val="0"/>
        <w:ind w:firstLineChars="100" w:firstLine="280"/>
        <w:jc w:val="center"/>
        <w:outlineLvl w:val="0"/>
        <w:rPr>
          <w:rFonts w:ascii="Times New Roman" w:eastAsia="標楷體" w:hAnsi="Times New Roman"/>
          <w:sz w:val="28"/>
          <w:szCs w:val="28"/>
        </w:rPr>
      </w:pPr>
      <w:r>
        <w:rPr>
          <w:rFonts w:ascii="Times New Roman" w:eastAsia="標楷體" w:hAnsi="Times New Roman"/>
          <w:sz w:val="28"/>
          <w:szCs w:val="28"/>
        </w:rPr>
        <w:t>評選須知</w:t>
      </w:r>
    </w:p>
    <w:p w:rsidR="00B23549" w:rsidRDefault="002F327A">
      <w:pPr>
        <w:pStyle w:val="af7"/>
        <w:snapToGrid w:val="0"/>
        <w:ind w:firstLineChars="100" w:firstLine="280"/>
        <w:jc w:val="center"/>
        <w:outlineLvl w:val="0"/>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sz w:val="28"/>
          <w:szCs w:val="28"/>
        </w:rPr>
        <w:t>適用最有利標，序位法</w:t>
      </w:r>
      <w:r>
        <w:rPr>
          <w:rFonts w:ascii="Times New Roman" w:eastAsia="標楷體" w:hAnsi="Times New Roman"/>
          <w:sz w:val="28"/>
          <w:szCs w:val="28"/>
        </w:rPr>
        <w:t>-</w:t>
      </w:r>
      <w:r>
        <w:rPr>
          <w:rFonts w:ascii="Times New Roman" w:eastAsia="標楷體" w:hAnsi="Times New Roman"/>
          <w:sz w:val="28"/>
          <w:szCs w:val="28"/>
        </w:rPr>
        <w:t>固定價格給付</w:t>
      </w:r>
      <w:r>
        <w:rPr>
          <w:rFonts w:ascii="Times New Roman" w:eastAsia="標楷體" w:hAnsi="Times New Roman"/>
          <w:sz w:val="28"/>
          <w:szCs w:val="28"/>
        </w:rPr>
        <w:t>)</w:t>
      </w:r>
    </w:p>
    <w:p w:rsidR="00B23549" w:rsidRDefault="002F327A">
      <w:r>
        <w:rPr>
          <w:rFonts w:hint="eastAsia"/>
        </w:rPr>
        <w:t>第壹節、法令依據</w:t>
      </w:r>
    </w:p>
    <w:p w:rsidR="00B23549" w:rsidRDefault="002F327A">
      <w:pPr>
        <w:numPr>
          <w:ilvl w:val="0"/>
          <w:numId w:val="4"/>
        </w:numPr>
        <w:tabs>
          <w:tab w:val="clear" w:pos="1440"/>
          <w:tab w:val="left" w:pos="1004"/>
        </w:tabs>
        <w:snapToGrid w:val="0"/>
        <w:ind w:left="1004" w:hanging="502"/>
        <w:jc w:val="both"/>
        <w:rPr>
          <w:rFonts w:ascii="標楷體" w:hAnsi="標楷體"/>
        </w:rPr>
      </w:pPr>
      <w:r>
        <w:rPr>
          <w:rFonts w:ascii="標楷體" w:hAnsi="標楷體" w:hint="eastAsia"/>
        </w:rPr>
        <w:t>本案本機關依「採購評選委員會組織準則」成立評選委員會，並依「採購評選委員會審議規則」、「最有利標評選辦法」及本案投標須知等相關規定辦理評選。</w:t>
      </w:r>
    </w:p>
    <w:p w:rsidR="00B23549" w:rsidRDefault="002F327A">
      <w:r>
        <w:rPr>
          <w:rFonts w:hint="eastAsia"/>
        </w:rPr>
        <w:t>第貳節、</w:t>
      </w:r>
      <w:r>
        <w:t>服務建議書</w:t>
      </w:r>
      <w:r>
        <w:rPr>
          <w:rFonts w:hint="eastAsia"/>
        </w:rPr>
        <w:t>(</w:t>
      </w:r>
      <w:r>
        <w:rPr>
          <w:rFonts w:hint="eastAsia"/>
        </w:rPr>
        <w:t>含附件</w:t>
      </w:r>
      <w:r>
        <w:rPr>
          <w:rFonts w:hint="eastAsia"/>
        </w:rPr>
        <w:t>)</w:t>
      </w:r>
      <w:r>
        <w:rPr>
          <w:rFonts w:hint="eastAsia"/>
        </w:rPr>
        <w:t>內容</w:t>
      </w:r>
    </w:p>
    <w:p w:rsidR="00B23549" w:rsidRDefault="002F327A">
      <w:pPr>
        <w:numPr>
          <w:ilvl w:val="0"/>
          <w:numId w:val="4"/>
        </w:numPr>
        <w:tabs>
          <w:tab w:val="clear" w:pos="1440"/>
          <w:tab w:val="left" w:pos="1004"/>
        </w:tabs>
        <w:snapToGrid w:val="0"/>
        <w:ind w:left="1004" w:hanging="502"/>
        <w:jc w:val="both"/>
        <w:rPr>
          <w:rFonts w:ascii="標楷體" w:hAnsi="標楷體"/>
        </w:rPr>
      </w:pPr>
      <w:r>
        <w:rPr>
          <w:rFonts w:ascii="標楷體" w:hAnsi="標楷體" w:hint="eastAsia"/>
        </w:rPr>
        <w:t>投標廠商提送服務建議書及其</w:t>
      </w:r>
      <w:r>
        <w:rPr>
          <w:rFonts w:ascii="標楷體" w:hAnsi="標楷體"/>
        </w:rPr>
        <w:t>附件</w:t>
      </w:r>
      <w:r>
        <w:rPr>
          <w:rFonts w:ascii="標楷體" w:hAnsi="標楷體" w:hint="eastAsia"/>
        </w:rPr>
        <w:t>內容，應依本案招標文件規定之服務範圍及項目研擬，按下列規定撰寫，決標後並列為契約附件之一：</w:t>
      </w:r>
    </w:p>
    <w:p w:rsidR="00B23549" w:rsidRDefault="002F327A">
      <w:pPr>
        <w:pStyle w:val="HTML"/>
        <w:numPr>
          <w:ilvl w:val="1"/>
          <w:numId w:val="5"/>
        </w:numPr>
        <w:tabs>
          <w:tab w:val="clear" w:pos="916"/>
          <w:tab w:val="left" w:pos="1506"/>
        </w:tabs>
        <w:snapToGrid w:val="0"/>
        <w:ind w:left="1506" w:hanging="502"/>
        <w:rPr>
          <w:rFonts w:ascii="標楷體" w:eastAsia="標楷體" w:hAnsi="標楷體"/>
          <w:kern w:val="2"/>
        </w:rPr>
      </w:pPr>
      <w:r>
        <w:rPr>
          <w:rFonts w:ascii="標楷體" w:eastAsia="標楷體" w:hAnsi="標楷體" w:hint="eastAsia"/>
        </w:rPr>
        <w:t>服務建議書(含附件)【</w:t>
      </w:r>
      <w:r>
        <w:rPr>
          <w:rFonts w:ascii="標楷體" w:eastAsia="標楷體" w:hAnsi="標楷體"/>
          <w:color w:val="FF0000"/>
        </w:rPr>
        <w:t>17</w:t>
      </w:r>
      <w:r>
        <w:rPr>
          <w:rFonts w:ascii="標楷體" w:eastAsia="標楷體" w:hAnsi="標楷體" w:hint="eastAsia"/>
        </w:rPr>
        <w:t>】份（正本1份，副本【</w:t>
      </w:r>
      <w:r>
        <w:rPr>
          <w:rFonts w:ascii="標楷體" w:eastAsia="標楷體" w:hAnsi="標楷體"/>
          <w:color w:val="FF0000"/>
        </w:rPr>
        <w:t>16</w:t>
      </w:r>
      <w:r>
        <w:rPr>
          <w:rFonts w:ascii="標楷體" w:eastAsia="標楷體" w:hAnsi="標楷體" w:hint="eastAsia"/>
        </w:rPr>
        <w:t>】份），須標示正副本，正本及副本內容有異時，以正本為準。</w:t>
      </w:r>
    </w:p>
    <w:p w:rsidR="00B23549" w:rsidRDefault="002F327A">
      <w:pPr>
        <w:pStyle w:val="HTML"/>
        <w:numPr>
          <w:ilvl w:val="1"/>
          <w:numId w:val="5"/>
        </w:numPr>
        <w:tabs>
          <w:tab w:val="clear" w:pos="916"/>
          <w:tab w:val="left" w:pos="1506"/>
        </w:tabs>
        <w:snapToGrid w:val="0"/>
        <w:ind w:left="1506" w:hanging="502"/>
        <w:rPr>
          <w:rFonts w:ascii="標楷體" w:eastAsia="標楷體" w:hAnsi="標楷體"/>
        </w:rPr>
      </w:pPr>
      <w:r>
        <w:rPr>
          <w:rFonts w:ascii="標楷體" w:eastAsia="標楷體" w:hAnsi="標楷體" w:hint="eastAsia"/>
        </w:rPr>
        <w:t>服務建議書主文：</w:t>
      </w: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cs="Times New Roman"/>
          <w:kern w:val="2"/>
        </w:rPr>
      </w:pPr>
      <w:r>
        <w:rPr>
          <w:rFonts w:ascii="標楷體" w:eastAsia="標楷體" w:hAnsi="標楷體" w:hint="eastAsia"/>
          <w:kern w:val="2"/>
        </w:rPr>
        <w:t>1.服務建議書封面：標題統一為【</w:t>
      </w:r>
      <w:r>
        <w:rPr>
          <w:rFonts w:ascii="標楷體" w:eastAsia="標楷體" w:hAnsi="標楷體" w:hint="eastAsia"/>
          <w:color w:val="FF0000"/>
          <w:kern w:val="2"/>
        </w:rPr>
        <w:t>臺北市政府消防局</w:t>
      </w:r>
      <w:r>
        <w:rPr>
          <w:rFonts w:ascii="標楷體" w:eastAsia="標楷體" w:hAnsi="標楷體" w:hint="eastAsia"/>
          <w:color w:val="FF0000"/>
          <w:szCs w:val="28"/>
        </w:rPr>
        <w:t>109年度大型水箱消防車3輛及小型水箱消防車6輛</w:t>
      </w:r>
      <w:r>
        <w:rPr>
          <w:rFonts w:ascii="Times New Roman" w:eastAsia="標楷體" w:hAnsi="Times New Roman" w:cs="Times New Roman" w:hint="eastAsia"/>
          <w:color w:val="FF0000"/>
          <w:szCs w:val="28"/>
        </w:rPr>
        <w:t>採購案</w:t>
      </w:r>
      <w:r>
        <w:rPr>
          <w:rFonts w:ascii="標楷體" w:eastAsia="標楷體" w:hAnsi="標楷體" w:hint="eastAsia"/>
          <w:kern w:val="2"/>
        </w:rPr>
        <w:t>】服務建議書。</w:t>
      </w: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shd w:val="pct10" w:color="auto" w:fill="FFFFFF"/>
        </w:rPr>
      </w:pPr>
      <w:r>
        <w:rPr>
          <w:rFonts w:ascii="標楷體" w:eastAsia="標楷體" w:hAnsi="標楷體" w:hint="eastAsia"/>
          <w:kern w:val="2"/>
        </w:rPr>
        <w:t>2.服務建議書正本首頁請標示廠商名稱，並蓋廠商及負責人印章或簽署，倘投標廠商未蓋廠商及負責人印章或簽署，本機關得洽廠商澄清更正。</w:t>
      </w: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shd w:val="pct10" w:color="auto" w:fill="FFFFFF"/>
        </w:rPr>
      </w:pPr>
      <w:r>
        <w:rPr>
          <w:rFonts w:ascii="標楷體" w:eastAsia="標楷體" w:hAnsi="標楷體" w:hint="eastAsia"/>
          <w:kern w:val="2"/>
        </w:rPr>
        <w:t>3.服務建議書內容：</w:t>
      </w:r>
      <w:r>
        <w:rPr>
          <w:rFonts w:ascii="標楷體" w:eastAsia="標楷體" w:hAnsi="標楷體" w:cs="Times New Roman" w:hint="eastAsia"/>
          <w:kern w:val="2"/>
        </w:rPr>
        <w:t>服務建議書內容（主文部分）應至少涵蓋下列項目，投標廠商應依評選項目依序撰擬。</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51"/>
        <w:gridCol w:w="2810"/>
        <w:gridCol w:w="3427"/>
        <w:gridCol w:w="3119"/>
      </w:tblGrid>
      <w:tr w:rsidR="00B23549" w:rsidTr="00A33631">
        <w:tc>
          <w:tcPr>
            <w:tcW w:w="851" w:type="dxa"/>
            <w:tcBorders>
              <w:top w:val="single" w:sz="12" w:space="0" w:color="auto"/>
              <w:bottom w:val="double" w:sz="4" w:space="0" w:color="auto"/>
            </w:tcBorders>
          </w:tcPr>
          <w:p w:rsidR="00B23549" w:rsidRDefault="002F327A">
            <w:pPr>
              <w:pStyle w:val="HTML"/>
              <w:snapToGrid w:val="0"/>
              <w:ind w:leftChars="-38" w:left="-91" w:rightChars="-38" w:right="-91"/>
              <w:jc w:val="center"/>
              <w:rPr>
                <w:rFonts w:ascii="標楷體" w:eastAsia="標楷體" w:hAnsi="標楷體"/>
              </w:rPr>
            </w:pPr>
            <w:r>
              <w:rPr>
                <w:rFonts w:ascii="標楷體" w:eastAsia="標楷體" w:hAnsi="標楷體" w:hint="eastAsia"/>
              </w:rPr>
              <w:t>項次</w:t>
            </w:r>
          </w:p>
        </w:tc>
        <w:tc>
          <w:tcPr>
            <w:tcW w:w="2810" w:type="dxa"/>
            <w:tcBorders>
              <w:top w:val="single" w:sz="12" w:space="0" w:color="auto"/>
              <w:bottom w:val="double" w:sz="4" w:space="0" w:color="auto"/>
            </w:tcBorders>
          </w:tcPr>
          <w:p w:rsidR="00B23549" w:rsidRDefault="002F327A">
            <w:pPr>
              <w:pStyle w:val="HTML"/>
              <w:tabs>
                <w:tab w:val="clear" w:pos="1832"/>
                <w:tab w:val="left" w:pos="1900"/>
              </w:tabs>
              <w:snapToGrid w:val="0"/>
              <w:ind w:leftChars="-38" w:left="-91"/>
              <w:jc w:val="center"/>
              <w:rPr>
                <w:rFonts w:ascii="標楷體" w:eastAsia="標楷體" w:hAnsi="標楷體"/>
              </w:rPr>
            </w:pPr>
            <w:r>
              <w:rPr>
                <w:rFonts w:ascii="標楷體" w:eastAsia="標楷體" w:hAnsi="標楷體" w:hint="eastAsia"/>
              </w:rPr>
              <w:t>評選項目</w:t>
            </w:r>
          </w:p>
        </w:tc>
        <w:tc>
          <w:tcPr>
            <w:tcW w:w="3427" w:type="dxa"/>
            <w:tcBorders>
              <w:top w:val="single" w:sz="12" w:space="0" w:color="auto"/>
              <w:bottom w:val="double" w:sz="4" w:space="0" w:color="auto"/>
            </w:tcBorders>
          </w:tcPr>
          <w:p w:rsidR="00B23549" w:rsidRDefault="002F327A">
            <w:pPr>
              <w:pStyle w:val="HTML"/>
              <w:snapToGrid w:val="0"/>
              <w:ind w:leftChars="-38" w:left="-91" w:rightChars="-38" w:right="-91"/>
              <w:jc w:val="center"/>
              <w:rPr>
                <w:rFonts w:ascii="標楷體" w:eastAsia="標楷體" w:hAnsi="標楷體"/>
              </w:rPr>
            </w:pPr>
            <w:r>
              <w:rPr>
                <w:rFonts w:ascii="標楷體" w:eastAsia="標楷體" w:hAnsi="標楷體" w:hint="eastAsia"/>
                <w:kern w:val="2"/>
              </w:rPr>
              <w:t>服務建議書</w:t>
            </w:r>
            <w:r>
              <w:rPr>
                <w:rFonts w:ascii="標楷體" w:eastAsia="標楷體" w:hAnsi="標楷體" w:hint="eastAsia"/>
              </w:rPr>
              <w:t>撰擬重點規定</w:t>
            </w:r>
          </w:p>
        </w:tc>
        <w:tc>
          <w:tcPr>
            <w:tcW w:w="3119" w:type="dxa"/>
            <w:tcBorders>
              <w:top w:val="single" w:sz="12" w:space="0" w:color="auto"/>
              <w:bottom w:val="double" w:sz="4" w:space="0" w:color="auto"/>
            </w:tcBorders>
          </w:tcPr>
          <w:p w:rsidR="00B23549" w:rsidRDefault="002F327A">
            <w:pPr>
              <w:pStyle w:val="HTML"/>
              <w:tabs>
                <w:tab w:val="clear" w:pos="2748"/>
                <w:tab w:val="left" w:pos="2904"/>
              </w:tabs>
              <w:snapToGrid w:val="0"/>
              <w:ind w:leftChars="-38" w:left="-91" w:rightChars="-21" w:right="-50"/>
              <w:jc w:val="center"/>
              <w:rPr>
                <w:rFonts w:ascii="標楷體" w:eastAsia="標楷體" w:hAnsi="標楷體"/>
              </w:rPr>
            </w:pPr>
            <w:r>
              <w:rPr>
                <w:rFonts w:ascii="標楷體" w:eastAsia="標楷體" w:hAnsi="標楷體" w:hint="eastAsia"/>
                <w:kern w:val="2"/>
              </w:rPr>
              <w:t>服務建議書</w:t>
            </w:r>
            <w:r>
              <w:rPr>
                <w:rFonts w:ascii="標楷體" w:eastAsia="標楷體" w:hAnsi="標楷體" w:hint="eastAsia"/>
              </w:rPr>
              <w:t>附件應附文件</w:t>
            </w:r>
          </w:p>
        </w:tc>
      </w:tr>
      <w:tr w:rsidR="00B23549" w:rsidTr="00A33631">
        <w:tc>
          <w:tcPr>
            <w:tcW w:w="851" w:type="dxa"/>
            <w:tcBorders>
              <w:top w:val="double" w:sz="4" w:space="0" w:color="auto"/>
            </w:tcBorders>
          </w:tcPr>
          <w:p w:rsidR="00B23549" w:rsidRDefault="002F327A">
            <w:pPr>
              <w:pStyle w:val="HTML"/>
              <w:snapToGrid w:val="0"/>
              <w:jc w:val="center"/>
              <w:rPr>
                <w:rFonts w:ascii="標楷體" w:eastAsia="標楷體" w:hAnsi="標楷體"/>
              </w:rPr>
            </w:pPr>
            <w:r>
              <w:rPr>
                <w:rFonts w:ascii="標楷體" w:eastAsia="標楷體" w:hAnsi="標楷體" w:hint="eastAsia"/>
              </w:rPr>
              <w:t>1</w:t>
            </w:r>
          </w:p>
        </w:tc>
        <w:tc>
          <w:tcPr>
            <w:tcW w:w="2810" w:type="dxa"/>
            <w:tcBorders>
              <w:top w:val="double" w:sz="4" w:space="0" w:color="auto"/>
            </w:tcBorders>
          </w:tcPr>
          <w:p w:rsidR="00B23549" w:rsidRDefault="002F327A">
            <w:pPr>
              <w:pStyle w:val="HTML"/>
              <w:snapToGrid w:val="0"/>
              <w:rPr>
                <w:rFonts w:ascii="標楷體" w:eastAsia="標楷體" w:hAnsi="標楷體"/>
                <w:color w:val="FF0000"/>
              </w:rPr>
            </w:pPr>
            <w:r>
              <w:rPr>
                <w:rFonts w:ascii="標楷體" w:eastAsia="標楷體" w:hAnsi="標楷體" w:hint="eastAsia"/>
                <w:color w:val="FF0000"/>
              </w:rPr>
              <w:t>水箱消防車之規劃設計</w:t>
            </w:r>
          </w:p>
        </w:tc>
        <w:tc>
          <w:tcPr>
            <w:tcW w:w="3427" w:type="dxa"/>
            <w:tcBorders>
              <w:top w:val="double" w:sz="4" w:space="0" w:color="auto"/>
            </w:tcBorders>
          </w:tcPr>
          <w:p w:rsidR="00B23549" w:rsidRDefault="002F327A">
            <w:pPr>
              <w:pStyle w:val="HTML"/>
              <w:snapToGrid w:val="0"/>
              <w:rPr>
                <w:rFonts w:ascii="標楷體" w:eastAsia="標楷體" w:hAnsi="標楷體"/>
                <w:color w:val="FF0000"/>
              </w:rPr>
            </w:pPr>
            <w:r>
              <w:rPr>
                <w:rFonts w:ascii="標楷體" w:eastAsia="標楷體" w:hAnsi="標楷體" w:hint="eastAsia"/>
                <w:color w:val="FF0000"/>
              </w:rPr>
              <w:t>外觀、車廂內部</w:t>
            </w:r>
            <w:r>
              <w:rPr>
                <w:rFonts w:ascii="標楷體" w:eastAsia="標楷體" w:hAnsi="標楷體" w:cs="標楷體" w:hint="eastAsia"/>
                <w:color w:val="FF0000"/>
              </w:rPr>
              <w:t>設計、底盤設計（如變速箱排檔方式、主動式煞車輔助系統及P</w:t>
            </w:r>
            <w:r>
              <w:rPr>
                <w:rFonts w:ascii="標楷體" w:eastAsia="標楷體" w:hAnsi="標楷體" w:cs="標楷體"/>
                <w:color w:val="FF0000"/>
              </w:rPr>
              <w:t>.</w:t>
            </w:r>
            <w:r>
              <w:rPr>
                <w:rFonts w:ascii="標楷體" w:eastAsia="標楷體" w:hAnsi="標楷體" w:cs="標楷體" w:hint="eastAsia"/>
                <w:color w:val="FF0000"/>
              </w:rPr>
              <w:t>T.O等）、</w:t>
            </w:r>
            <w:r>
              <w:rPr>
                <w:rFonts w:ascii="標楷體" w:eastAsia="標楷體" w:hAnsi="標楷體" w:hint="eastAsia"/>
                <w:color w:val="FF0000"/>
              </w:rPr>
              <w:t>裝備器材置放及其他利於救災之設計，符合執行重大災害事故搶救之安全性、便利性或耐用性等</w:t>
            </w:r>
          </w:p>
        </w:tc>
        <w:tc>
          <w:tcPr>
            <w:tcW w:w="3119" w:type="dxa"/>
            <w:tcBorders>
              <w:top w:val="double" w:sz="4" w:space="0" w:color="auto"/>
            </w:tcBorders>
          </w:tcPr>
          <w:p w:rsidR="00B23549" w:rsidRDefault="002F327A">
            <w:pPr>
              <w:pStyle w:val="HTML"/>
              <w:snapToGrid w:val="0"/>
              <w:rPr>
                <w:rFonts w:ascii="標楷體" w:eastAsia="標楷體" w:hAnsi="標楷體"/>
                <w:color w:val="FF0000"/>
              </w:rPr>
            </w:pPr>
            <w:r>
              <w:rPr>
                <w:rFonts w:ascii="標楷體" w:eastAsia="標楷體" w:hAnsi="標楷體" w:hint="eastAsia"/>
                <w:color w:val="FF0000"/>
              </w:rPr>
              <w:t>車輛之正視、側視、俯視、後視圖或3D立體圖或其他相關圖樣展示</w:t>
            </w:r>
          </w:p>
        </w:tc>
      </w:tr>
      <w:tr w:rsidR="00B23549" w:rsidTr="00A33631">
        <w:tc>
          <w:tcPr>
            <w:tcW w:w="851" w:type="dxa"/>
          </w:tcPr>
          <w:p w:rsidR="00B23549" w:rsidRDefault="002F327A">
            <w:pPr>
              <w:pStyle w:val="HTML"/>
              <w:snapToGrid w:val="0"/>
              <w:jc w:val="center"/>
              <w:rPr>
                <w:rFonts w:ascii="標楷體" w:eastAsia="標楷體" w:hAnsi="標楷體"/>
              </w:rPr>
            </w:pPr>
            <w:r>
              <w:rPr>
                <w:rFonts w:ascii="標楷體" w:eastAsia="標楷體" w:hAnsi="標楷體" w:hint="eastAsia"/>
              </w:rPr>
              <w:t>2</w:t>
            </w:r>
          </w:p>
        </w:tc>
        <w:tc>
          <w:tcPr>
            <w:tcW w:w="2810" w:type="dxa"/>
          </w:tcPr>
          <w:p w:rsidR="00B23549" w:rsidRDefault="002F327A">
            <w:pPr>
              <w:pStyle w:val="HTML"/>
              <w:snapToGrid w:val="0"/>
              <w:rPr>
                <w:rFonts w:ascii="標楷體" w:eastAsia="標楷體" w:hAnsi="標楷體"/>
                <w:color w:val="FF0000"/>
              </w:rPr>
            </w:pPr>
            <w:r>
              <w:rPr>
                <w:rFonts w:ascii="標楷體" w:eastAsia="標楷體" w:hAnsi="標楷體" w:hint="eastAsia"/>
                <w:color w:val="FF0000"/>
              </w:rPr>
              <w:t>水箱消防車電源供應、幫浦系統設計及裝備器材特性、功能及效益</w:t>
            </w:r>
          </w:p>
        </w:tc>
        <w:tc>
          <w:tcPr>
            <w:tcW w:w="3427" w:type="dxa"/>
          </w:tcPr>
          <w:p w:rsidR="00B23549" w:rsidRDefault="002F327A">
            <w:pPr>
              <w:pStyle w:val="HTML"/>
              <w:snapToGrid w:val="0"/>
              <w:rPr>
                <w:rFonts w:ascii="標楷體" w:eastAsia="標楷體" w:hAnsi="標楷體"/>
                <w:color w:val="FF0000"/>
              </w:rPr>
            </w:pPr>
            <w:r>
              <w:rPr>
                <w:rFonts w:ascii="標楷體" w:eastAsia="標楷體" w:hAnsi="標楷體" w:hint="eastAsia"/>
                <w:color w:val="FF0000"/>
              </w:rPr>
              <w:t>請敘明水箱消防車電源供應設計、幫浦及管路整體設計、各項裝備器材(如橇棒、排煙機、瞄子等)特性、功能及效益，符合執行重大災害事故搶救之安全性、便利性或耐用性等</w:t>
            </w:r>
          </w:p>
        </w:tc>
        <w:tc>
          <w:tcPr>
            <w:tcW w:w="3119" w:type="dxa"/>
          </w:tcPr>
          <w:p w:rsidR="00B23549" w:rsidRDefault="002F327A">
            <w:pPr>
              <w:pStyle w:val="HTML"/>
              <w:snapToGrid w:val="0"/>
              <w:rPr>
                <w:rFonts w:ascii="標楷體" w:eastAsia="標楷體" w:hAnsi="標楷體"/>
                <w:color w:val="FF0000"/>
              </w:rPr>
            </w:pPr>
            <w:r>
              <w:rPr>
                <w:rFonts w:ascii="標楷體" w:eastAsia="標楷體" w:hAnsi="標楷體" w:hint="eastAsia"/>
                <w:color w:val="FF0000"/>
              </w:rPr>
              <w:t>產品型錄、圖樣、型號、符合相關安全標準之文件。</w:t>
            </w:r>
          </w:p>
        </w:tc>
      </w:tr>
      <w:tr w:rsidR="00B23549" w:rsidTr="00A33631">
        <w:tc>
          <w:tcPr>
            <w:tcW w:w="851" w:type="dxa"/>
          </w:tcPr>
          <w:p w:rsidR="00B23549" w:rsidRDefault="002F327A">
            <w:pPr>
              <w:pStyle w:val="HTML"/>
              <w:snapToGrid w:val="0"/>
              <w:jc w:val="center"/>
              <w:rPr>
                <w:rFonts w:ascii="標楷體" w:eastAsia="標楷體" w:hAnsi="標楷體"/>
              </w:rPr>
            </w:pPr>
            <w:r>
              <w:rPr>
                <w:rFonts w:ascii="標楷體" w:eastAsia="標楷體" w:hAnsi="標楷體" w:hint="eastAsia"/>
              </w:rPr>
              <w:t>3</w:t>
            </w:r>
          </w:p>
        </w:tc>
        <w:tc>
          <w:tcPr>
            <w:tcW w:w="2810" w:type="dxa"/>
          </w:tcPr>
          <w:p w:rsidR="00B23549" w:rsidRDefault="002F327A">
            <w:pPr>
              <w:pStyle w:val="HTML"/>
              <w:snapToGrid w:val="0"/>
              <w:rPr>
                <w:rFonts w:ascii="標楷體" w:eastAsia="標楷體" w:hAnsi="標楷體"/>
              </w:rPr>
            </w:pPr>
            <w:r>
              <w:rPr>
                <w:rFonts w:ascii="標楷體" w:eastAsia="標楷體" w:hAnsi="標楷體" w:hint="eastAsia"/>
              </w:rPr>
              <w:t>過去履約實績與財務狀況</w:t>
            </w:r>
          </w:p>
        </w:tc>
        <w:tc>
          <w:tcPr>
            <w:tcW w:w="3427" w:type="dxa"/>
          </w:tcPr>
          <w:p w:rsidR="00B23549" w:rsidRDefault="002F327A">
            <w:pPr>
              <w:pStyle w:val="HTML"/>
              <w:snapToGrid w:val="0"/>
              <w:rPr>
                <w:rFonts w:ascii="標楷體" w:eastAsia="標楷體" w:hAnsi="標楷體"/>
              </w:rPr>
            </w:pPr>
            <w:r>
              <w:rPr>
                <w:rFonts w:ascii="標楷體" w:eastAsia="標楷體" w:hAnsi="標楷體" w:hint="eastAsia"/>
                <w:color w:val="FF0000"/>
              </w:rPr>
              <w:t>提供相同車款在國內外銷售實績履約情形；如銷售國內政府單位者，提供驗收結算證明書。</w:t>
            </w:r>
          </w:p>
        </w:tc>
        <w:tc>
          <w:tcPr>
            <w:tcW w:w="3119" w:type="dxa"/>
          </w:tcPr>
          <w:p w:rsidR="00B23549" w:rsidRDefault="002F327A">
            <w:pPr>
              <w:pStyle w:val="HTML"/>
              <w:snapToGrid w:val="0"/>
              <w:rPr>
                <w:rFonts w:ascii="標楷體" w:eastAsia="標楷體" w:hAnsi="標楷體"/>
              </w:rPr>
            </w:pPr>
            <w:r>
              <w:rPr>
                <w:rFonts w:ascii="標楷體" w:eastAsia="標楷體" w:hAnsi="標楷體" w:hint="eastAsia"/>
                <w:color w:val="FF0000"/>
              </w:rPr>
              <w:t>投標廠商承攬相關標案之履約實績（如有承攬內政部消防署或各縣市消防局之消防車輛者請檢附相關證明資料）</w:t>
            </w:r>
            <w:r>
              <w:rPr>
                <w:rFonts w:ascii="標楷體" w:eastAsia="標楷體" w:hAnsi="標楷體" w:hint="eastAsia"/>
              </w:rPr>
              <w:t>，及其財力證明</w:t>
            </w:r>
          </w:p>
        </w:tc>
      </w:tr>
      <w:tr w:rsidR="00B23549" w:rsidTr="00A33631">
        <w:tc>
          <w:tcPr>
            <w:tcW w:w="851" w:type="dxa"/>
          </w:tcPr>
          <w:p w:rsidR="00B23549" w:rsidRDefault="002F327A">
            <w:pPr>
              <w:pStyle w:val="HTML"/>
              <w:snapToGrid w:val="0"/>
              <w:jc w:val="center"/>
              <w:rPr>
                <w:rFonts w:ascii="標楷體" w:eastAsia="標楷體" w:hAnsi="標楷體"/>
              </w:rPr>
            </w:pPr>
            <w:r>
              <w:rPr>
                <w:rFonts w:ascii="標楷體" w:eastAsia="標楷體" w:hAnsi="標楷體" w:hint="eastAsia"/>
              </w:rPr>
              <w:t>4</w:t>
            </w:r>
          </w:p>
        </w:tc>
        <w:tc>
          <w:tcPr>
            <w:tcW w:w="2810" w:type="dxa"/>
          </w:tcPr>
          <w:p w:rsidR="00B23549" w:rsidRDefault="002F327A">
            <w:pPr>
              <w:pStyle w:val="HTML"/>
              <w:snapToGrid w:val="0"/>
              <w:rPr>
                <w:rFonts w:ascii="標楷體" w:eastAsia="標楷體" w:hAnsi="標楷體"/>
              </w:rPr>
            </w:pPr>
            <w:r>
              <w:rPr>
                <w:rFonts w:ascii="標楷體" w:eastAsia="標楷體" w:hAnsi="標楷體" w:hint="eastAsia"/>
              </w:rPr>
              <w:t>固定價格之</w:t>
            </w:r>
            <w:r>
              <w:rPr>
                <w:rFonts w:ascii="標楷體" w:eastAsia="標楷體" w:hAnsi="標楷體" w:cs="標楷體" w:hint="eastAsia"/>
              </w:rPr>
              <w:t>創意</w:t>
            </w:r>
          </w:p>
        </w:tc>
        <w:tc>
          <w:tcPr>
            <w:tcW w:w="3427" w:type="dxa"/>
          </w:tcPr>
          <w:p w:rsidR="00B23549" w:rsidRDefault="002F327A">
            <w:pPr>
              <w:pStyle w:val="HTML"/>
              <w:snapToGrid w:val="0"/>
              <w:rPr>
                <w:rFonts w:ascii="標楷體" w:eastAsia="標楷體" w:hAnsi="標楷體"/>
              </w:rPr>
            </w:pPr>
            <w:r>
              <w:rPr>
                <w:rFonts w:ascii="標楷體" w:eastAsia="標楷體" w:hAnsi="標楷體" w:hint="eastAsia"/>
                <w:color w:val="FF0000"/>
              </w:rPr>
              <w:t>如廠商可協助提供適合本採購案之相關配備或延長保固期等其他創意加值服務，另檢附價格分析表(如附件)。</w:t>
            </w:r>
          </w:p>
        </w:tc>
        <w:tc>
          <w:tcPr>
            <w:tcW w:w="3119" w:type="dxa"/>
          </w:tcPr>
          <w:p w:rsidR="00B23549" w:rsidRDefault="002F327A">
            <w:pPr>
              <w:pStyle w:val="HTML"/>
              <w:snapToGrid w:val="0"/>
              <w:rPr>
                <w:rFonts w:ascii="標楷體" w:eastAsia="標楷體" w:hAnsi="標楷體"/>
                <w:color w:val="FF0000"/>
              </w:rPr>
            </w:pPr>
            <w:r>
              <w:rPr>
                <w:rFonts w:ascii="標楷體" w:eastAsia="標楷體" w:hAnsi="標楷體" w:hint="eastAsia"/>
                <w:color w:val="FF0000"/>
              </w:rPr>
              <w:t>價格分析表</w:t>
            </w:r>
          </w:p>
        </w:tc>
      </w:tr>
      <w:tr w:rsidR="00B23549" w:rsidTr="00A33631">
        <w:tc>
          <w:tcPr>
            <w:tcW w:w="851" w:type="dxa"/>
          </w:tcPr>
          <w:p w:rsidR="00B23549" w:rsidRDefault="002F327A">
            <w:pPr>
              <w:pStyle w:val="HTML"/>
              <w:snapToGrid w:val="0"/>
              <w:jc w:val="center"/>
              <w:rPr>
                <w:rFonts w:ascii="標楷體" w:eastAsia="標楷體" w:hAnsi="標楷體"/>
              </w:rPr>
            </w:pPr>
            <w:r>
              <w:rPr>
                <w:rFonts w:ascii="標楷體" w:eastAsia="標楷體" w:hAnsi="標楷體" w:hint="eastAsia"/>
              </w:rPr>
              <w:t>5</w:t>
            </w:r>
          </w:p>
        </w:tc>
        <w:tc>
          <w:tcPr>
            <w:tcW w:w="2810" w:type="dxa"/>
          </w:tcPr>
          <w:p w:rsidR="00B23549" w:rsidRDefault="002F327A">
            <w:pPr>
              <w:pStyle w:val="HTML"/>
              <w:snapToGrid w:val="0"/>
              <w:rPr>
                <w:rFonts w:ascii="標楷體" w:eastAsia="標楷體" w:hAnsi="標楷體"/>
              </w:rPr>
            </w:pPr>
            <w:r>
              <w:rPr>
                <w:rFonts w:ascii="標楷體" w:eastAsia="標楷體" w:hAnsi="標楷體" w:hint="eastAsia"/>
                <w:kern w:val="2"/>
              </w:rPr>
              <w:t>簡</w:t>
            </w:r>
            <w:r>
              <w:rPr>
                <w:rFonts w:ascii="標楷體" w:eastAsia="標楷體" w:hAnsi="標楷體" w:hint="eastAsia"/>
              </w:rPr>
              <w:t>報與詢答</w:t>
            </w:r>
          </w:p>
        </w:tc>
        <w:tc>
          <w:tcPr>
            <w:tcW w:w="3427" w:type="dxa"/>
          </w:tcPr>
          <w:p w:rsidR="00B23549" w:rsidRDefault="00B23549">
            <w:pPr>
              <w:pStyle w:val="HTML"/>
              <w:snapToGrid w:val="0"/>
              <w:rPr>
                <w:rFonts w:ascii="標楷體" w:eastAsia="標楷體" w:hAnsi="標楷體"/>
              </w:rPr>
            </w:pPr>
          </w:p>
        </w:tc>
        <w:tc>
          <w:tcPr>
            <w:tcW w:w="3119" w:type="dxa"/>
          </w:tcPr>
          <w:p w:rsidR="00B23549" w:rsidRDefault="00B23549">
            <w:pPr>
              <w:pStyle w:val="HTML"/>
              <w:snapToGrid w:val="0"/>
              <w:jc w:val="center"/>
              <w:rPr>
                <w:rFonts w:ascii="標楷體" w:eastAsia="標楷體" w:hAnsi="標楷體"/>
                <w:dstrike/>
              </w:rPr>
            </w:pPr>
          </w:p>
        </w:tc>
      </w:tr>
    </w:tbl>
    <w:p w:rsidR="00B23549" w:rsidRDefault="00B23549">
      <w:pPr>
        <w:pStyle w:val="HTML"/>
        <w:tabs>
          <w:tab w:val="clear" w:pos="916"/>
          <w:tab w:val="clear" w:pos="1832"/>
          <w:tab w:val="left" w:pos="1004"/>
          <w:tab w:val="left" w:pos="1757"/>
        </w:tabs>
        <w:snapToGrid w:val="0"/>
        <w:ind w:leftChars="59" w:left="142"/>
        <w:rPr>
          <w:rFonts w:ascii="標楷體" w:eastAsia="標楷體" w:hAnsi="標楷體"/>
          <w:szCs w:val="28"/>
        </w:rPr>
      </w:pP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szCs w:val="28"/>
        </w:rPr>
      </w:pPr>
      <w:r>
        <w:rPr>
          <w:rFonts w:ascii="標楷體" w:eastAsia="標楷體" w:hAnsi="標楷體" w:hint="eastAsia"/>
        </w:rPr>
        <w:lastRenderedPageBreak/>
        <w:t>4.本案採固定價格(新臺幣：</w:t>
      </w:r>
      <w:r>
        <w:rPr>
          <w:rFonts w:ascii="標楷體" w:eastAsia="標楷體" w:hAnsi="標楷體" w:hint="eastAsia"/>
          <w:color w:val="FF0000"/>
        </w:rPr>
        <w:t>4</w:t>
      </w:r>
      <w:r>
        <w:rPr>
          <w:rFonts w:ascii="標楷體" w:eastAsia="標楷體" w:hAnsi="標楷體"/>
          <w:color w:val="FF0000"/>
        </w:rPr>
        <w:t>,</w:t>
      </w:r>
      <w:r>
        <w:rPr>
          <w:rFonts w:ascii="標楷體" w:eastAsia="標楷體" w:hAnsi="標楷體" w:hint="eastAsia"/>
          <w:color w:val="FF0000"/>
        </w:rPr>
        <w:t>380萬元</w:t>
      </w:r>
      <w:r>
        <w:rPr>
          <w:rFonts w:ascii="標楷體" w:eastAsia="標楷體" w:hAnsi="標楷體" w:hint="eastAsia"/>
        </w:rPr>
        <w:t>整)給付，投標廠商免</w:t>
      </w:r>
      <w:r>
        <w:rPr>
          <w:rFonts w:ascii="標楷體" w:eastAsia="標楷體" w:hAnsi="標楷體" w:cs="新細明體"/>
        </w:rPr>
        <w:t>備投標書</w:t>
      </w:r>
      <w:r>
        <w:rPr>
          <w:rFonts w:ascii="標楷體" w:eastAsia="標楷體" w:hAnsi="標楷體" w:cs="新細明體" w:hint="eastAsia"/>
        </w:rPr>
        <w:t>，</w:t>
      </w:r>
      <w:r>
        <w:rPr>
          <w:rFonts w:ascii="標楷體" w:eastAsia="標楷體" w:hAnsi="標楷體" w:cs="新細明體" w:hint="eastAsia"/>
          <w:u w:val="single"/>
        </w:rPr>
        <w:t>但</w:t>
      </w:r>
      <w:r>
        <w:rPr>
          <w:rFonts w:ascii="標楷體" w:eastAsia="標楷體" w:hAnsi="標楷體" w:hint="eastAsia"/>
          <w:u w:val="single"/>
        </w:rPr>
        <w:t>應依本案固定價格於服務建議書詳列組成該費用之內容</w:t>
      </w:r>
      <w:r>
        <w:rPr>
          <w:rFonts w:ascii="標楷體" w:eastAsia="標楷體" w:hAnsi="標楷體" w:hint="eastAsia"/>
        </w:rPr>
        <w:t>，服務建議書所列報價如超過該固定價格者為不合格標，不得為決標對象，如低於該固定價格，則視為投標廠商之回饋，以該報價決標。</w:t>
      </w:r>
    </w:p>
    <w:p w:rsidR="00B23549" w:rsidRDefault="002F327A">
      <w:pPr>
        <w:pStyle w:val="HTML"/>
        <w:numPr>
          <w:ilvl w:val="1"/>
          <w:numId w:val="5"/>
        </w:numPr>
        <w:tabs>
          <w:tab w:val="clear" w:pos="916"/>
          <w:tab w:val="left" w:pos="1506"/>
        </w:tabs>
        <w:snapToGrid w:val="0"/>
        <w:ind w:left="1506" w:hanging="502"/>
        <w:rPr>
          <w:rFonts w:ascii="標楷體" w:eastAsia="標楷體" w:hAnsi="標楷體"/>
          <w:kern w:val="2"/>
        </w:rPr>
      </w:pPr>
      <w:r>
        <w:rPr>
          <w:rFonts w:ascii="標楷體" w:eastAsia="標楷體" w:hAnsi="標楷體" w:hint="eastAsia"/>
          <w:kern w:val="2"/>
        </w:rPr>
        <w:t>服務建議書附件：</w:t>
      </w: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kern w:val="2"/>
        </w:rPr>
      </w:pPr>
      <w:r>
        <w:rPr>
          <w:rFonts w:ascii="標楷體" w:eastAsia="標楷體" w:hAnsi="標楷體" w:hint="eastAsia"/>
          <w:kern w:val="2"/>
        </w:rPr>
        <w:t>1.附件封面：標題統一為【</w:t>
      </w:r>
      <w:r>
        <w:rPr>
          <w:rFonts w:ascii="標楷體" w:eastAsia="標楷體" w:hAnsi="標楷體" w:hint="eastAsia"/>
          <w:color w:val="FF0000"/>
          <w:kern w:val="2"/>
        </w:rPr>
        <w:t>臺北市政府消防局</w:t>
      </w:r>
      <w:r>
        <w:rPr>
          <w:rFonts w:ascii="標楷體" w:eastAsia="標楷體" w:hAnsi="標楷體" w:hint="eastAsia"/>
          <w:color w:val="FF0000"/>
          <w:szCs w:val="28"/>
        </w:rPr>
        <w:t>109年度大型水箱消防車3輛及小型水箱消防車6輛</w:t>
      </w:r>
      <w:r>
        <w:rPr>
          <w:rFonts w:ascii="Times New Roman" w:eastAsia="標楷體" w:hAnsi="Times New Roman" w:cs="Times New Roman" w:hint="eastAsia"/>
          <w:color w:val="FF0000"/>
          <w:szCs w:val="28"/>
        </w:rPr>
        <w:t>採購案</w:t>
      </w:r>
      <w:r>
        <w:rPr>
          <w:rFonts w:ascii="標楷體" w:eastAsia="標楷體" w:hAnsi="標楷體" w:hint="eastAsia"/>
          <w:kern w:val="2"/>
        </w:rPr>
        <w:t>】服務建議書附件。</w:t>
      </w: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kern w:val="2"/>
          <w:shd w:val="clear" w:color="auto" w:fill="00FFFF"/>
        </w:rPr>
      </w:pPr>
      <w:r>
        <w:rPr>
          <w:rFonts w:ascii="標楷體" w:eastAsia="標楷體" w:hAnsi="標楷體" w:hint="eastAsia"/>
          <w:kern w:val="2"/>
        </w:rPr>
        <w:t>2.附件正本首頁請標示廠商名稱，並蓋廠商及負責人印章或簽署，倘投標廠商未蓋廠商及負責人印章或簽署，本機關得洽廠商澄清更正。</w:t>
      </w: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rPr>
      </w:pPr>
      <w:r>
        <w:rPr>
          <w:rFonts w:ascii="標楷體" w:eastAsia="標楷體" w:hAnsi="標楷體" w:hint="eastAsia"/>
          <w:kern w:val="2"/>
        </w:rPr>
        <w:t>3.附件內容</w:t>
      </w:r>
      <w:r>
        <w:rPr>
          <w:rFonts w:ascii="標楷體" w:eastAsia="標楷體" w:hAnsi="標楷體" w:cs="Times New Roman" w:hint="eastAsia"/>
          <w:kern w:val="2"/>
        </w:rPr>
        <w:t>應按前款規定檢附相關文件資料：</w:t>
      </w:r>
    </w:p>
    <w:p w:rsidR="00B23549" w:rsidRDefault="002F327A">
      <w:pPr>
        <w:pStyle w:val="HTML"/>
        <w:tabs>
          <w:tab w:val="clear" w:pos="916"/>
          <w:tab w:val="clear" w:pos="1832"/>
          <w:tab w:val="left" w:pos="1004"/>
          <w:tab w:val="left" w:pos="1757"/>
        </w:tabs>
        <w:snapToGrid w:val="0"/>
        <w:ind w:left="840" w:firstLineChars="400" w:firstLine="960"/>
        <w:rPr>
          <w:rFonts w:ascii="標楷體" w:eastAsia="標楷體" w:hAnsi="標楷體"/>
          <w:u w:val="single"/>
        </w:rPr>
      </w:pPr>
      <w:r>
        <w:rPr>
          <w:rFonts w:ascii="標楷體" w:eastAsia="標楷體" w:hAnsi="標楷體" w:cs="Times New Roman" w:hint="eastAsia"/>
          <w:kern w:val="2"/>
        </w:rPr>
        <w:t>(1)</w:t>
      </w:r>
      <w:r>
        <w:rPr>
          <w:rFonts w:ascii="標楷體" w:eastAsia="標楷體" w:hAnsi="標楷體" w:hint="eastAsia"/>
          <w:color w:val="FF0000"/>
          <w:u w:val="single"/>
        </w:rPr>
        <w:t xml:space="preserve"> 車輛之正視、側視、俯視、後視圖或3D立體圖或其他相關圖樣展示</w:t>
      </w:r>
      <w:r>
        <w:rPr>
          <w:rFonts w:ascii="標楷體" w:eastAsia="標楷體" w:hAnsi="標楷體" w:hint="eastAsia"/>
          <w:color w:val="FF0000"/>
          <w:kern w:val="2"/>
          <w:u w:val="single"/>
        </w:rPr>
        <w:t>。</w:t>
      </w:r>
    </w:p>
    <w:p w:rsidR="00B23549" w:rsidRDefault="002F327A">
      <w:pPr>
        <w:pStyle w:val="HTML"/>
        <w:tabs>
          <w:tab w:val="clear" w:pos="916"/>
          <w:tab w:val="clear" w:pos="1832"/>
          <w:tab w:val="left" w:pos="1004"/>
          <w:tab w:val="left" w:pos="2268"/>
        </w:tabs>
        <w:snapToGrid w:val="0"/>
        <w:ind w:left="1701" w:firstLineChars="41" w:firstLine="98"/>
        <w:rPr>
          <w:rFonts w:ascii="標楷體" w:eastAsia="標楷體" w:hAnsi="標楷體"/>
          <w:color w:val="FF0000"/>
          <w:u w:val="single"/>
        </w:rPr>
      </w:pPr>
      <w:r>
        <w:rPr>
          <w:rFonts w:ascii="標楷體" w:eastAsia="標楷體" w:hAnsi="標楷體" w:hint="eastAsia"/>
        </w:rPr>
        <w:t>(2)</w:t>
      </w:r>
      <w:r>
        <w:rPr>
          <w:rFonts w:ascii="標楷體" w:eastAsia="標楷體" w:hAnsi="標楷體" w:hint="eastAsia"/>
          <w:color w:val="FF0000"/>
          <w:u w:val="single"/>
        </w:rPr>
        <w:t xml:space="preserve"> 車輛各項系統配備產品型錄、圖樣、型號或符合相關安全標準之  </w:t>
      </w:r>
    </w:p>
    <w:p w:rsidR="00B23549" w:rsidRDefault="002F327A">
      <w:pPr>
        <w:pStyle w:val="HTML"/>
        <w:tabs>
          <w:tab w:val="clear" w:pos="916"/>
          <w:tab w:val="clear" w:pos="1832"/>
          <w:tab w:val="left" w:pos="1004"/>
          <w:tab w:val="left" w:pos="2268"/>
        </w:tabs>
        <w:snapToGrid w:val="0"/>
        <w:ind w:left="1701" w:firstLineChars="41" w:firstLine="98"/>
        <w:rPr>
          <w:rFonts w:ascii="標楷體" w:eastAsia="標楷體" w:hAnsi="標楷體"/>
          <w:u w:val="single"/>
        </w:rPr>
      </w:pPr>
      <w:r>
        <w:rPr>
          <w:rFonts w:ascii="標楷體" w:eastAsia="標楷體" w:hAnsi="標楷體" w:hint="eastAsia"/>
          <w:color w:val="FF0000"/>
        </w:rPr>
        <w:t xml:space="preserve">   </w:t>
      </w:r>
      <w:r>
        <w:rPr>
          <w:rFonts w:ascii="標楷體" w:eastAsia="標楷體" w:hAnsi="標楷體" w:hint="eastAsia"/>
          <w:color w:val="FF0000"/>
          <w:u w:val="single"/>
        </w:rPr>
        <w:t xml:space="preserve"> 文件。</w:t>
      </w:r>
    </w:p>
    <w:p w:rsidR="00B23549" w:rsidRDefault="002F327A">
      <w:pPr>
        <w:pStyle w:val="HTML"/>
        <w:tabs>
          <w:tab w:val="clear" w:pos="916"/>
          <w:tab w:val="clear" w:pos="1832"/>
          <w:tab w:val="left" w:pos="1004"/>
          <w:tab w:val="left" w:pos="1757"/>
        </w:tabs>
        <w:snapToGrid w:val="0"/>
        <w:ind w:left="840" w:firstLineChars="400" w:firstLine="960"/>
        <w:rPr>
          <w:rFonts w:ascii="標楷體" w:eastAsia="標楷體" w:hAnsi="標楷體"/>
        </w:rPr>
      </w:pPr>
      <w:r>
        <w:rPr>
          <w:rFonts w:ascii="標楷體" w:eastAsia="標楷體" w:hAnsi="標楷體" w:hint="eastAsia"/>
        </w:rPr>
        <w:t>(3)</w:t>
      </w:r>
      <w:r>
        <w:rPr>
          <w:rFonts w:ascii="標楷體" w:eastAsia="標楷體" w:hAnsi="標楷體" w:hint="eastAsia"/>
          <w:color w:val="FF0000"/>
          <w:u w:val="single"/>
        </w:rPr>
        <w:t xml:space="preserve"> 投標廠商承攬相關標案之履約實績，及其財力證明。</w:t>
      </w:r>
    </w:p>
    <w:p w:rsidR="00B23549" w:rsidRDefault="002F327A">
      <w:pPr>
        <w:pStyle w:val="HTML"/>
        <w:tabs>
          <w:tab w:val="clear" w:pos="916"/>
          <w:tab w:val="clear" w:pos="1832"/>
          <w:tab w:val="left" w:pos="1004"/>
          <w:tab w:val="left" w:pos="1757"/>
        </w:tabs>
        <w:snapToGrid w:val="0"/>
        <w:ind w:left="840" w:firstLineChars="400" w:firstLine="960"/>
        <w:rPr>
          <w:rFonts w:ascii="標楷體" w:eastAsia="標楷體" w:hAnsi="標楷體"/>
        </w:rPr>
      </w:pPr>
      <w:r>
        <w:rPr>
          <w:rFonts w:ascii="標楷體" w:eastAsia="標楷體" w:hAnsi="標楷體" w:hint="eastAsia"/>
        </w:rPr>
        <w:t>(4)</w:t>
      </w:r>
      <w:r>
        <w:rPr>
          <w:rFonts w:ascii="標楷體" w:eastAsia="標楷體" w:hAnsi="標楷體" w:hint="eastAsia"/>
          <w:color w:val="FF0000"/>
          <w:u w:val="single"/>
        </w:rPr>
        <w:t xml:space="preserve"> 價格分析表。</w:t>
      </w:r>
    </w:p>
    <w:p w:rsidR="00B23549" w:rsidRDefault="002F327A">
      <w:pPr>
        <w:pStyle w:val="HTML"/>
        <w:numPr>
          <w:ilvl w:val="1"/>
          <w:numId w:val="5"/>
        </w:numPr>
        <w:tabs>
          <w:tab w:val="clear" w:pos="916"/>
          <w:tab w:val="left" w:pos="1506"/>
        </w:tabs>
        <w:snapToGrid w:val="0"/>
        <w:ind w:left="1506" w:hanging="502"/>
        <w:rPr>
          <w:rFonts w:ascii="標楷體" w:eastAsia="標楷體" w:hAnsi="標楷體"/>
          <w:kern w:val="2"/>
        </w:rPr>
      </w:pPr>
      <w:r>
        <w:rPr>
          <w:rFonts w:ascii="標楷體" w:eastAsia="標楷體" w:hAnsi="標楷體" w:hint="eastAsia"/>
          <w:kern w:val="2"/>
        </w:rPr>
        <w:t>服務建議書與其附件</w:t>
      </w:r>
      <w:r w:rsidR="00F41732" w:rsidRPr="00F41732">
        <w:rPr>
          <w:rFonts w:ascii="標楷體" w:eastAsia="標楷體" w:hAnsi="標楷體" w:hint="eastAsia"/>
          <w:kern w:val="2"/>
          <w:highlight w:val="yellow"/>
        </w:rPr>
        <w:t>得</w:t>
      </w:r>
      <w:bookmarkStart w:id="0" w:name="_GoBack"/>
      <w:bookmarkEnd w:id="0"/>
      <w:r>
        <w:rPr>
          <w:rFonts w:ascii="標楷體" w:eastAsia="標楷體" w:hAnsi="標楷體" w:hint="eastAsia"/>
          <w:kern w:val="2"/>
        </w:rPr>
        <w:t>分開裝訂。</w:t>
      </w:r>
    </w:p>
    <w:p w:rsidR="00B23549" w:rsidRDefault="002F327A">
      <w:pPr>
        <w:pStyle w:val="HTML"/>
        <w:numPr>
          <w:ilvl w:val="1"/>
          <w:numId w:val="5"/>
        </w:numPr>
        <w:tabs>
          <w:tab w:val="clear" w:pos="916"/>
          <w:tab w:val="left" w:pos="1506"/>
        </w:tabs>
        <w:snapToGrid w:val="0"/>
        <w:ind w:left="1506" w:hanging="502"/>
        <w:rPr>
          <w:rFonts w:ascii="標楷體" w:eastAsia="標楷體" w:hAnsi="標楷體"/>
          <w:kern w:val="2"/>
        </w:rPr>
      </w:pPr>
      <w:r>
        <w:rPr>
          <w:rFonts w:ascii="標楷體" w:eastAsia="標楷體" w:hAnsi="標楷體" w:hint="eastAsia"/>
          <w:kern w:val="2"/>
        </w:rPr>
        <w:t>服務建議書及附件之格式、裝訂方式依下列方式辦理：</w:t>
      </w:r>
    </w:p>
    <w:p w:rsidR="00B23549" w:rsidRDefault="002F327A">
      <w:pPr>
        <w:pStyle w:val="HTML"/>
        <w:tabs>
          <w:tab w:val="clear" w:pos="916"/>
          <w:tab w:val="clear" w:pos="1832"/>
          <w:tab w:val="left" w:pos="1004"/>
          <w:tab w:val="left" w:pos="1757"/>
        </w:tabs>
        <w:snapToGrid w:val="0"/>
        <w:ind w:leftChars="600" w:left="1620" w:hangingChars="75" w:hanging="180"/>
        <w:rPr>
          <w:rFonts w:ascii="標楷體" w:eastAsia="標楷體" w:hAnsi="標楷體"/>
        </w:rPr>
      </w:pPr>
      <w:r>
        <w:rPr>
          <w:rFonts w:ascii="標楷體" w:eastAsia="標楷體" w:hAnsi="標楷體" w:hint="eastAsia"/>
        </w:rPr>
        <w:t>1.服務</w:t>
      </w:r>
      <w:r>
        <w:rPr>
          <w:rFonts w:ascii="標楷體" w:eastAsia="標楷體" w:hAnsi="標楷體" w:hint="eastAsia"/>
          <w:kern w:val="2"/>
        </w:rPr>
        <w:t>建議</w:t>
      </w:r>
      <w:r>
        <w:rPr>
          <w:rFonts w:ascii="標楷體" w:eastAsia="標楷體" w:hAnsi="標楷體" w:hint="eastAsia"/>
        </w:rPr>
        <w:t>書以橫書直式編排，紙張大小採A4規格紙張，</w:t>
      </w:r>
      <w:r>
        <w:rPr>
          <w:rFonts w:ascii="標楷體" w:eastAsia="標楷體" w:hAnsi="標楷體" w:hint="eastAsia"/>
          <w:kern w:val="2"/>
        </w:rPr>
        <w:t>雙面印刷為原則</w:t>
      </w:r>
      <w:r>
        <w:rPr>
          <w:rFonts w:ascii="標楷體" w:eastAsia="標楷體" w:hAnsi="標楷體" w:hint="eastAsia"/>
        </w:rPr>
        <w:t>，圖樣得採A3規格紙張（請摺頁為A4規格），以連續編列頁碼方式不得超過【</w:t>
      </w:r>
      <w:r>
        <w:rPr>
          <w:rFonts w:ascii="標楷體" w:eastAsia="標楷體" w:hAnsi="標楷體" w:hint="eastAsia"/>
          <w:color w:val="FF0000"/>
        </w:rPr>
        <w:t>50</w:t>
      </w:r>
      <w:r>
        <w:rPr>
          <w:rFonts w:ascii="標楷體" w:eastAsia="標楷體" w:hAnsi="標楷體" w:hint="eastAsia"/>
        </w:rPr>
        <w:t>】頁（不含封面、封底、首頁及目錄），不可分冊，並採A4直式左側裝訂。</w:t>
      </w:r>
    </w:p>
    <w:p w:rsidR="00B23549" w:rsidRDefault="002F327A">
      <w:pPr>
        <w:pStyle w:val="HTML"/>
        <w:tabs>
          <w:tab w:val="clear" w:pos="916"/>
          <w:tab w:val="clear" w:pos="1832"/>
          <w:tab w:val="left" w:pos="1004"/>
          <w:tab w:val="left" w:pos="1757"/>
        </w:tabs>
        <w:snapToGrid w:val="0"/>
        <w:ind w:left="1506"/>
        <w:rPr>
          <w:rFonts w:ascii="標楷體" w:eastAsia="標楷體" w:hAnsi="標楷體"/>
          <w:kern w:val="2"/>
        </w:rPr>
      </w:pPr>
      <w:r>
        <w:rPr>
          <w:rFonts w:ascii="標楷體" w:eastAsia="標楷體" w:hAnsi="標楷體" w:hint="eastAsia"/>
        </w:rPr>
        <w:t>2.附件以橫書直式編排，紙張大小、規格及裝訂方式同服務建議書，頁數不限。</w:t>
      </w:r>
    </w:p>
    <w:p w:rsidR="00B23549" w:rsidRDefault="002F327A">
      <w:pPr>
        <w:pStyle w:val="HTML"/>
        <w:numPr>
          <w:ilvl w:val="1"/>
          <w:numId w:val="5"/>
        </w:numPr>
        <w:tabs>
          <w:tab w:val="clear" w:pos="916"/>
          <w:tab w:val="left" w:pos="1506"/>
        </w:tabs>
        <w:snapToGrid w:val="0"/>
        <w:ind w:left="1506" w:hanging="502"/>
        <w:rPr>
          <w:rFonts w:ascii="標楷體" w:eastAsia="標楷體" w:hAnsi="標楷體"/>
          <w:kern w:val="2"/>
        </w:rPr>
      </w:pPr>
      <w:r>
        <w:rPr>
          <w:rFonts w:ascii="標楷體" w:eastAsia="標楷體" w:hAnsi="標楷體" w:hint="eastAsia"/>
          <w:kern w:val="2"/>
        </w:rPr>
        <w:t>服務建議書有下列情形者，將依下列標準扣減評比之分數：</w:t>
      </w:r>
    </w:p>
    <w:p w:rsidR="00B23549" w:rsidRDefault="002F327A">
      <w:pPr>
        <w:pStyle w:val="HTML"/>
        <w:numPr>
          <w:ilvl w:val="0"/>
          <w:numId w:val="6"/>
        </w:numPr>
        <w:tabs>
          <w:tab w:val="clear" w:pos="840"/>
          <w:tab w:val="clear" w:pos="916"/>
          <w:tab w:val="clear" w:pos="1832"/>
          <w:tab w:val="left" w:pos="1004"/>
          <w:tab w:val="left" w:pos="1757"/>
        </w:tabs>
        <w:snapToGrid w:val="0"/>
        <w:ind w:left="1757" w:hanging="251"/>
        <w:rPr>
          <w:rFonts w:ascii="標楷體" w:eastAsia="標楷體" w:hAnsi="標楷體"/>
          <w:kern w:val="2"/>
          <w:shd w:val="clear" w:color="auto" w:fill="00FFFF"/>
        </w:rPr>
      </w:pPr>
      <w:r>
        <w:rPr>
          <w:rFonts w:ascii="標楷體" w:eastAsia="標楷體" w:hAnsi="標楷體" w:hint="eastAsia"/>
          <w:kern w:val="2"/>
        </w:rPr>
        <w:t>服務建議書總頁數超過限制者，</w:t>
      </w:r>
      <w:r>
        <w:rPr>
          <w:rFonts w:ascii="標楷體" w:eastAsia="標楷體" w:hAnsi="標楷體" w:hint="eastAsia"/>
        </w:rPr>
        <w:t>由工作小組於評選前依下列標準扣減，載明於評比表，並俟評選委員先就各評選項目辦理評分後，再按所載應扣減分數計算廠商最後應得總分，據以轉換序位：</w:t>
      </w:r>
    </w:p>
    <w:p w:rsidR="00B23549" w:rsidRDefault="002F327A">
      <w:pPr>
        <w:pStyle w:val="HTML"/>
        <w:tabs>
          <w:tab w:val="clear" w:pos="916"/>
          <w:tab w:val="clear" w:pos="1832"/>
          <w:tab w:val="left" w:pos="1004"/>
        </w:tabs>
        <w:snapToGrid w:val="0"/>
        <w:ind w:left="1506" w:firstLineChars="627" w:firstLine="1505"/>
        <w:rPr>
          <w:rFonts w:ascii="標楷體" w:eastAsia="標楷體" w:hAnsi="標楷體"/>
        </w:rPr>
      </w:pPr>
      <w:r>
        <w:rPr>
          <w:rFonts w:ascii="標楷體" w:eastAsia="標楷體" w:hAnsi="標楷體" w:hint="eastAsia"/>
        </w:rPr>
        <w:t xml:space="preserve">超過頁數　  </w:t>
      </w:r>
      <w:r>
        <w:rPr>
          <w:rFonts w:ascii="標楷體" w:eastAsia="標楷體" w:hAnsi="標楷體" w:hint="eastAsia"/>
          <w:color w:val="FF0000"/>
        </w:rPr>
        <w:t>1～5</w:t>
      </w:r>
      <w:r>
        <w:rPr>
          <w:rFonts w:ascii="標楷體" w:eastAsia="標楷體" w:hAnsi="標楷體" w:hint="eastAsia"/>
        </w:rPr>
        <w:t>頁      扣減【1】分</w:t>
      </w:r>
    </w:p>
    <w:p w:rsidR="00B23549" w:rsidRDefault="002F327A">
      <w:pPr>
        <w:pStyle w:val="HTML"/>
        <w:tabs>
          <w:tab w:val="clear" w:pos="916"/>
          <w:tab w:val="clear" w:pos="1832"/>
          <w:tab w:val="left" w:pos="1004"/>
        </w:tabs>
        <w:snapToGrid w:val="0"/>
        <w:ind w:left="1506" w:firstLineChars="627" w:firstLine="1505"/>
        <w:rPr>
          <w:rFonts w:ascii="標楷體" w:eastAsia="標楷體" w:hAnsi="標楷體"/>
        </w:rPr>
      </w:pPr>
      <w:r>
        <w:rPr>
          <w:rFonts w:ascii="標楷體" w:eastAsia="標楷體" w:hAnsi="標楷體" w:hint="eastAsia"/>
        </w:rPr>
        <w:t xml:space="preserve">超過頁數　</w:t>
      </w:r>
      <w:r>
        <w:rPr>
          <w:rFonts w:ascii="標楷體" w:eastAsia="標楷體" w:hAnsi="標楷體" w:hint="eastAsia"/>
          <w:color w:val="FF0000"/>
        </w:rPr>
        <w:t xml:space="preserve"> 6～10</w:t>
      </w:r>
      <w:r>
        <w:rPr>
          <w:rFonts w:ascii="標楷體" w:eastAsia="標楷體" w:hAnsi="標楷體" w:hint="eastAsia"/>
        </w:rPr>
        <w:t>頁      扣減【2】分</w:t>
      </w:r>
    </w:p>
    <w:p w:rsidR="00B23549" w:rsidRDefault="002F327A">
      <w:pPr>
        <w:pStyle w:val="HTML"/>
        <w:tabs>
          <w:tab w:val="clear" w:pos="916"/>
          <w:tab w:val="clear" w:pos="1832"/>
          <w:tab w:val="left" w:pos="1004"/>
        </w:tabs>
        <w:snapToGrid w:val="0"/>
        <w:ind w:left="1506" w:firstLineChars="627" w:firstLine="1505"/>
        <w:rPr>
          <w:rFonts w:ascii="標楷體" w:eastAsia="標楷體" w:hAnsi="標楷體"/>
        </w:rPr>
      </w:pPr>
      <w:r>
        <w:rPr>
          <w:rFonts w:ascii="標楷體" w:eastAsia="標楷體" w:hAnsi="標楷體" w:hint="eastAsia"/>
        </w:rPr>
        <w:t xml:space="preserve">超過頁數　</w:t>
      </w:r>
      <w:r>
        <w:rPr>
          <w:rFonts w:ascii="標楷體" w:eastAsia="標楷體" w:hAnsi="標楷體" w:hint="eastAsia"/>
          <w:color w:val="FF0000"/>
        </w:rPr>
        <w:t>11～15</w:t>
      </w:r>
      <w:r>
        <w:rPr>
          <w:rFonts w:ascii="標楷體" w:eastAsia="標楷體" w:hAnsi="標楷體" w:hint="eastAsia"/>
        </w:rPr>
        <w:t>頁　　　扣減【3】分</w:t>
      </w:r>
    </w:p>
    <w:p w:rsidR="00B23549" w:rsidRDefault="002F327A">
      <w:pPr>
        <w:pStyle w:val="HTML"/>
        <w:tabs>
          <w:tab w:val="clear" w:pos="916"/>
          <w:tab w:val="clear" w:pos="1832"/>
          <w:tab w:val="left" w:pos="1004"/>
        </w:tabs>
        <w:snapToGrid w:val="0"/>
        <w:ind w:left="1506" w:firstLineChars="627" w:firstLine="1505"/>
        <w:rPr>
          <w:rFonts w:ascii="標楷體" w:eastAsia="標楷體" w:hAnsi="標楷體"/>
        </w:rPr>
      </w:pPr>
      <w:r>
        <w:rPr>
          <w:rFonts w:ascii="標楷體" w:eastAsia="標楷體" w:hAnsi="標楷體" w:hint="eastAsia"/>
        </w:rPr>
        <w:t xml:space="preserve">超過頁數　</w:t>
      </w:r>
      <w:r>
        <w:rPr>
          <w:rFonts w:ascii="標楷體" w:eastAsia="標楷體" w:hAnsi="標楷體" w:hint="eastAsia"/>
          <w:color w:val="FF0000"/>
        </w:rPr>
        <w:t>16～20</w:t>
      </w:r>
      <w:r>
        <w:rPr>
          <w:rFonts w:ascii="標楷體" w:eastAsia="標楷體" w:hAnsi="標楷體" w:hint="eastAsia"/>
        </w:rPr>
        <w:t>頁　　　扣減【4】分</w:t>
      </w:r>
    </w:p>
    <w:p w:rsidR="00B23549" w:rsidRDefault="002F327A">
      <w:pPr>
        <w:pStyle w:val="HTML"/>
        <w:tabs>
          <w:tab w:val="clear" w:pos="916"/>
          <w:tab w:val="clear" w:pos="1832"/>
          <w:tab w:val="left" w:pos="1004"/>
        </w:tabs>
        <w:snapToGrid w:val="0"/>
        <w:ind w:left="1506" w:firstLineChars="627" w:firstLine="1505"/>
        <w:rPr>
          <w:rFonts w:ascii="標楷體" w:eastAsia="標楷體" w:hAnsi="標楷體"/>
          <w:kern w:val="2"/>
          <w:shd w:val="clear" w:color="auto" w:fill="00FFFF"/>
        </w:rPr>
      </w:pPr>
      <w:r>
        <w:rPr>
          <w:rFonts w:ascii="標楷體" w:eastAsia="標楷體" w:hAnsi="標楷體" w:hint="eastAsia"/>
        </w:rPr>
        <w:t xml:space="preserve">超過頁數　</w:t>
      </w:r>
      <w:r>
        <w:rPr>
          <w:rFonts w:ascii="標楷體" w:eastAsia="標楷體" w:hAnsi="標楷體" w:hint="eastAsia"/>
          <w:color w:val="FF0000"/>
        </w:rPr>
        <w:t>21</w:t>
      </w:r>
      <w:r>
        <w:rPr>
          <w:rFonts w:ascii="標楷體" w:eastAsia="標楷體" w:hAnsi="標楷體" w:hint="eastAsia"/>
        </w:rPr>
        <w:t>頁及以上　　扣減【5】分</w:t>
      </w:r>
    </w:p>
    <w:p w:rsidR="00B23549" w:rsidRDefault="002F327A">
      <w:pPr>
        <w:pStyle w:val="HTML"/>
        <w:numPr>
          <w:ilvl w:val="0"/>
          <w:numId w:val="6"/>
        </w:numPr>
        <w:tabs>
          <w:tab w:val="clear" w:pos="840"/>
          <w:tab w:val="clear" w:pos="916"/>
          <w:tab w:val="clear" w:pos="1832"/>
          <w:tab w:val="left" w:pos="1004"/>
          <w:tab w:val="left" w:pos="1757"/>
        </w:tabs>
        <w:snapToGrid w:val="0"/>
        <w:ind w:left="1757" w:hanging="251"/>
        <w:rPr>
          <w:rFonts w:ascii="標楷體" w:eastAsia="標楷體" w:hAnsi="標楷體"/>
          <w:kern w:val="2"/>
        </w:rPr>
      </w:pPr>
      <w:r>
        <w:rPr>
          <w:rFonts w:ascii="標楷體" w:eastAsia="標楷體" w:hAnsi="標楷體" w:hint="eastAsia"/>
          <w:kern w:val="2"/>
        </w:rPr>
        <w:t>服務建議書份數不足者，</w:t>
      </w:r>
      <w:r>
        <w:rPr>
          <w:rFonts w:ascii="標楷體" w:eastAsia="標楷體" w:hAnsi="標楷體" w:hint="eastAsia"/>
          <w:color w:val="FF0000"/>
        </w:rPr>
        <w:t>工作小組於評選前</w:t>
      </w:r>
      <w:r>
        <w:rPr>
          <w:rFonts w:ascii="標楷體" w:eastAsia="標楷體" w:hAnsi="標楷體" w:hint="eastAsia"/>
          <w:color w:val="FF0000"/>
          <w:kern w:val="2"/>
        </w:rPr>
        <w:t xml:space="preserve">扣減【 </w:t>
      </w:r>
      <w:r>
        <w:rPr>
          <w:rFonts w:ascii="標楷體" w:eastAsia="標楷體" w:hAnsi="標楷體"/>
          <w:color w:val="FF0000"/>
          <w:kern w:val="2"/>
        </w:rPr>
        <w:t>1</w:t>
      </w:r>
      <w:r>
        <w:rPr>
          <w:rFonts w:ascii="標楷體" w:eastAsia="標楷體" w:hAnsi="標楷體" w:hint="eastAsia"/>
          <w:color w:val="FF0000"/>
          <w:kern w:val="2"/>
        </w:rPr>
        <w:t xml:space="preserve"> 】分，後續評分作業程序同前目規定。</w:t>
      </w:r>
      <w:r>
        <w:rPr>
          <w:rFonts w:ascii="標楷體" w:eastAsia="標楷體" w:hAnsi="標楷體" w:hint="eastAsia"/>
          <w:kern w:val="2"/>
        </w:rPr>
        <w:t>不足份數由本機關以黑白影印補足份數供評選使用，若因影印品質及裝訂與原件有出入而影響評選結果者，由投標廠商自行負責。</w:t>
      </w:r>
    </w:p>
    <w:p w:rsidR="00B23549" w:rsidRDefault="002F327A">
      <w:pPr>
        <w:pStyle w:val="HTML"/>
        <w:numPr>
          <w:ilvl w:val="0"/>
          <w:numId w:val="6"/>
        </w:numPr>
        <w:tabs>
          <w:tab w:val="clear" w:pos="840"/>
          <w:tab w:val="clear" w:pos="916"/>
          <w:tab w:val="clear" w:pos="1832"/>
          <w:tab w:val="left" w:pos="1004"/>
          <w:tab w:val="left" w:pos="1757"/>
        </w:tabs>
        <w:snapToGrid w:val="0"/>
        <w:ind w:left="1757" w:hanging="251"/>
        <w:rPr>
          <w:rFonts w:ascii="標楷體" w:eastAsia="標楷體" w:hAnsi="標楷體"/>
          <w:kern w:val="2"/>
        </w:rPr>
      </w:pPr>
      <w:r>
        <w:rPr>
          <w:rFonts w:ascii="標楷體" w:eastAsia="標楷體" w:hAnsi="標楷體" w:hint="eastAsia"/>
          <w:kern w:val="2"/>
        </w:rPr>
        <w:t>服務建議書之格式、裝訂方式與規定不符者，評選委員得視不符情形酌予評比較低之分數或名次。</w:t>
      </w:r>
    </w:p>
    <w:p w:rsidR="00B23549" w:rsidRDefault="002F327A">
      <w:r>
        <w:rPr>
          <w:rFonts w:hint="eastAsia"/>
        </w:rPr>
        <w:t>第參節、評選作業</w:t>
      </w:r>
    </w:p>
    <w:p w:rsidR="00B23549" w:rsidRDefault="002F327A">
      <w:pPr>
        <w:numPr>
          <w:ilvl w:val="0"/>
          <w:numId w:val="4"/>
        </w:numPr>
        <w:tabs>
          <w:tab w:val="clear" w:pos="1440"/>
          <w:tab w:val="left" w:pos="1004"/>
        </w:tabs>
        <w:snapToGrid w:val="0"/>
        <w:ind w:left="1004" w:hanging="502"/>
        <w:jc w:val="both"/>
        <w:rPr>
          <w:rFonts w:ascii="標楷體" w:hAnsi="標楷體" w:cs="細明體"/>
          <w:kern w:val="0"/>
        </w:rPr>
      </w:pPr>
      <w:r>
        <w:rPr>
          <w:rFonts w:ascii="標楷體" w:hAnsi="標楷體" w:hint="eastAsia"/>
        </w:rPr>
        <w:t>作業流程</w:t>
      </w:r>
    </w:p>
    <w:p w:rsidR="00B23549" w:rsidRDefault="002F327A">
      <w:pPr>
        <w:pStyle w:val="HTML"/>
        <w:numPr>
          <w:ilvl w:val="1"/>
          <w:numId w:val="7"/>
        </w:numPr>
        <w:tabs>
          <w:tab w:val="clear" w:pos="916"/>
          <w:tab w:val="left" w:pos="1506"/>
        </w:tabs>
        <w:snapToGrid w:val="0"/>
        <w:ind w:firstLine="12"/>
        <w:rPr>
          <w:rFonts w:ascii="標楷體" w:eastAsia="標楷體" w:hAnsi="標楷體"/>
        </w:rPr>
      </w:pPr>
      <w:r>
        <w:rPr>
          <w:rFonts w:ascii="標楷體" w:eastAsia="標楷體" w:hAnsi="標楷體" w:hint="eastAsia"/>
        </w:rPr>
        <w:t>評選前作業：</w:t>
      </w:r>
    </w:p>
    <w:p w:rsidR="00B23549" w:rsidRDefault="002F327A">
      <w:pPr>
        <w:pStyle w:val="HTML"/>
        <w:numPr>
          <w:ilvl w:val="0"/>
          <w:numId w:val="8"/>
        </w:numPr>
        <w:tabs>
          <w:tab w:val="clear" w:pos="840"/>
          <w:tab w:val="clear" w:pos="916"/>
          <w:tab w:val="clear" w:pos="1832"/>
          <w:tab w:val="clear" w:pos="2748"/>
          <w:tab w:val="left" w:pos="1004"/>
          <w:tab w:val="left" w:pos="1757"/>
        </w:tabs>
        <w:snapToGrid w:val="0"/>
        <w:ind w:left="1757" w:hanging="251"/>
        <w:rPr>
          <w:rFonts w:ascii="標楷體" w:eastAsia="標楷體" w:hAnsi="標楷體"/>
        </w:rPr>
      </w:pPr>
      <w:r>
        <w:rPr>
          <w:rFonts w:ascii="標楷體" w:eastAsia="標楷體" w:hAnsi="標楷體" w:hint="eastAsia"/>
        </w:rPr>
        <w:t>評選作業前經資格及【規格】</w:t>
      </w:r>
      <w:r>
        <w:rPr>
          <w:rFonts w:ascii="標楷體" w:eastAsia="標楷體" w:hAnsi="標楷體" w:cs="標楷體" w:hint="eastAsia"/>
        </w:rPr>
        <w:t>審查符合本案招標文件規定之投標廠商，</w:t>
      </w:r>
      <w:r>
        <w:rPr>
          <w:rFonts w:ascii="標楷體" w:eastAsia="標楷體" w:hAnsi="標楷體" w:hint="eastAsia"/>
        </w:rPr>
        <w:t>始得參與評選</w:t>
      </w:r>
      <w:r>
        <w:rPr>
          <w:rFonts w:ascii="標楷體" w:eastAsia="標楷體" w:hAnsi="標楷體"/>
        </w:rPr>
        <w:t>；</w:t>
      </w:r>
      <w:r>
        <w:rPr>
          <w:rFonts w:ascii="標楷體" w:eastAsia="標楷體" w:hAnsi="標楷體" w:hint="eastAsia"/>
        </w:rPr>
        <w:t>評選會議之時間、地點，由本機關另行通知。</w:t>
      </w:r>
    </w:p>
    <w:p w:rsidR="00B23549" w:rsidRDefault="002F327A">
      <w:pPr>
        <w:pStyle w:val="HTML"/>
        <w:numPr>
          <w:ilvl w:val="0"/>
          <w:numId w:val="8"/>
        </w:numPr>
        <w:tabs>
          <w:tab w:val="clear" w:pos="840"/>
          <w:tab w:val="clear" w:pos="916"/>
          <w:tab w:val="clear" w:pos="1832"/>
          <w:tab w:val="clear" w:pos="2748"/>
          <w:tab w:val="left" w:pos="1004"/>
          <w:tab w:val="left" w:pos="1757"/>
        </w:tabs>
        <w:snapToGrid w:val="0"/>
        <w:ind w:left="1757" w:hanging="251"/>
        <w:rPr>
          <w:rFonts w:ascii="標楷體" w:eastAsia="標楷體" w:hAnsi="標楷體"/>
        </w:rPr>
      </w:pPr>
      <w:r>
        <w:rPr>
          <w:rFonts w:ascii="標楷體" w:eastAsia="標楷體" w:hAnsi="標楷體" w:hint="eastAsia"/>
        </w:rPr>
        <w:t>廠商簡報之順序於資格及【規格】審查後，□由各合格廠商代表抽籤決定之，未出席者由本機關代為抽籤；■</w:t>
      </w:r>
      <w:r>
        <w:rPr>
          <w:rFonts w:ascii="標楷體" w:eastAsia="標楷體" w:hAnsi="標楷體" w:cs="標楷體" w:hint="eastAsia"/>
        </w:rPr>
        <w:t>依</w:t>
      </w:r>
      <w:r>
        <w:rPr>
          <w:rFonts w:ascii="標楷體" w:eastAsia="標楷體" w:hAnsi="標楷體" w:hint="eastAsia"/>
        </w:rPr>
        <w:t>各合格廠商</w:t>
      </w:r>
      <w:r>
        <w:rPr>
          <w:rFonts w:ascii="標楷體" w:eastAsia="標楷體" w:hAnsi="標楷體" w:cs="標楷體" w:hint="eastAsia"/>
        </w:rPr>
        <w:t>投標文件送達時間先後順序決定</w:t>
      </w:r>
      <w:r>
        <w:rPr>
          <w:rFonts w:ascii="標楷體" w:eastAsia="標楷體" w:hAnsi="標楷體" w:hint="eastAsia"/>
        </w:rPr>
        <w:t>。</w:t>
      </w:r>
    </w:p>
    <w:p w:rsidR="00B23549" w:rsidRDefault="002F327A">
      <w:pPr>
        <w:pStyle w:val="HTML"/>
        <w:numPr>
          <w:ilvl w:val="0"/>
          <w:numId w:val="8"/>
        </w:numPr>
        <w:tabs>
          <w:tab w:val="clear" w:pos="840"/>
          <w:tab w:val="clear" w:pos="916"/>
          <w:tab w:val="clear" w:pos="1832"/>
          <w:tab w:val="clear" w:pos="2748"/>
          <w:tab w:val="left" w:pos="1004"/>
          <w:tab w:val="left" w:pos="1757"/>
        </w:tabs>
        <w:snapToGrid w:val="0"/>
        <w:ind w:left="1757" w:hanging="251"/>
        <w:rPr>
          <w:rFonts w:ascii="標楷體" w:eastAsia="標楷體" w:hAnsi="標楷體"/>
        </w:rPr>
      </w:pPr>
      <w:r>
        <w:rPr>
          <w:rFonts w:ascii="標楷體" w:eastAsia="標楷體" w:hAnsi="標楷體" w:hint="eastAsia"/>
        </w:rPr>
        <w:t>提醒委員應公正評選，勿強制要求廠商修正其投標文件內容，如有「採購評選委員須知」第6點規定需要辭職迴避之情形，請主動告知機關。</w:t>
      </w:r>
    </w:p>
    <w:p w:rsidR="00B23549" w:rsidRDefault="002F327A">
      <w:pPr>
        <w:pStyle w:val="HTML"/>
        <w:numPr>
          <w:ilvl w:val="1"/>
          <w:numId w:val="7"/>
        </w:numPr>
        <w:tabs>
          <w:tab w:val="clear" w:pos="916"/>
          <w:tab w:val="left" w:pos="1506"/>
        </w:tabs>
        <w:snapToGrid w:val="0"/>
        <w:ind w:firstLine="12"/>
        <w:rPr>
          <w:rFonts w:ascii="標楷體" w:eastAsia="標楷體" w:hAnsi="標楷體"/>
        </w:rPr>
      </w:pPr>
      <w:r>
        <w:rPr>
          <w:rFonts w:ascii="標楷體" w:eastAsia="標楷體" w:hAnsi="標楷體" w:hint="eastAsia"/>
        </w:rPr>
        <w:t>工作小組提出初審意見。</w:t>
      </w:r>
    </w:p>
    <w:p w:rsidR="00B23549" w:rsidRDefault="002F327A">
      <w:pPr>
        <w:pStyle w:val="HTML"/>
        <w:numPr>
          <w:ilvl w:val="1"/>
          <w:numId w:val="7"/>
        </w:numPr>
        <w:tabs>
          <w:tab w:val="clear" w:pos="916"/>
          <w:tab w:val="left" w:pos="1506"/>
        </w:tabs>
        <w:snapToGrid w:val="0"/>
        <w:ind w:firstLine="12"/>
        <w:rPr>
          <w:rFonts w:ascii="標楷體" w:eastAsia="標楷體" w:hAnsi="標楷體"/>
        </w:rPr>
      </w:pPr>
      <w:r>
        <w:rPr>
          <w:rFonts w:ascii="標楷體" w:eastAsia="標楷體" w:hAnsi="標楷體" w:hint="eastAsia"/>
        </w:rPr>
        <w:t>投標廠商簡報及詢答。</w:t>
      </w:r>
    </w:p>
    <w:p w:rsidR="00B23549" w:rsidRDefault="002F327A">
      <w:pPr>
        <w:pStyle w:val="HTML"/>
        <w:numPr>
          <w:ilvl w:val="1"/>
          <w:numId w:val="7"/>
        </w:numPr>
        <w:tabs>
          <w:tab w:val="clear" w:pos="916"/>
          <w:tab w:val="left" w:pos="1506"/>
        </w:tabs>
        <w:snapToGrid w:val="0"/>
        <w:ind w:firstLine="12"/>
        <w:rPr>
          <w:rFonts w:ascii="標楷體" w:eastAsia="標楷體" w:hAnsi="標楷體"/>
        </w:rPr>
      </w:pPr>
      <w:r>
        <w:rPr>
          <w:rFonts w:ascii="標楷體" w:eastAsia="標楷體" w:hAnsi="標楷體" w:hint="eastAsia"/>
        </w:rPr>
        <w:lastRenderedPageBreak/>
        <w:t>評選委員辦理評選。</w:t>
      </w:r>
    </w:p>
    <w:p w:rsidR="00B23549" w:rsidRDefault="002F327A">
      <w:pPr>
        <w:pStyle w:val="HTML"/>
        <w:numPr>
          <w:ilvl w:val="1"/>
          <w:numId w:val="7"/>
        </w:numPr>
        <w:tabs>
          <w:tab w:val="clear" w:pos="916"/>
          <w:tab w:val="left" w:pos="1506"/>
        </w:tabs>
        <w:snapToGrid w:val="0"/>
        <w:ind w:firstLine="12"/>
        <w:rPr>
          <w:rFonts w:ascii="標楷體" w:eastAsia="標楷體" w:hAnsi="標楷體"/>
        </w:rPr>
      </w:pPr>
      <w:r>
        <w:rPr>
          <w:rFonts w:ascii="標楷體" w:eastAsia="標楷體" w:hAnsi="標楷體" w:hint="eastAsia"/>
        </w:rPr>
        <w:t>評選結果簽報本機關首長或其授權人員核定。</w:t>
      </w:r>
    </w:p>
    <w:p w:rsidR="00B23549" w:rsidRDefault="002F327A">
      <w:pPr>
        <w:pStyle w:val="HTML"/>
        <w:numPr>
          <w:ilvl w:val="1"/>
          <w:numId w:val="7"/>
        </w:numPr>
        <w:tabs>
          <w:tab w:val="clear" w:pos="916"/>
          <w:tab w:val="left" w:pos="1506"/>
        </w:tabs>
        <w:snapToGrid w:val="0"/>
        <w:ind w:firstLine="12"/>
        <w:rPr>
          <w:rFonts w:ascii="標楷體" w:eastAsia="標楷體" w:hAnsi="標楷體"/>
        </w:rPr>
      </w:pPr>
      <w:r>
        <w:rPr>
          <w:rFonts w:ascii="標楷體" w:eastAsia="標楷體" w:hAnsi="標楷體" w:hint="eastAsia"/>
        </w:rPr>
        <w:t>決標/廢標作業。</w:t>
      </w:r>
    </w:p>
    <w:p w:rsidR="00B23549" w:rsidRDefault="002F327A">
      <w:pPr>
        <w:numPr>
          <w:ilvl w:val="0"/>
          <w:numId w:val="4"/>
        </w:numPr>
        <w:tabs>
          <w:tab w:val="clear" w:pos="1440"/>
          <w:tab w:val="left" w:pos="1004"/>
        </w:tabs>
        <w:snapToGrid w:val="0"/>
        <w:ind w:left="1004" w:hanging="502"/>
        <w:jc w:val="both"/>
        <w:rPr>
          <w:rFonts w:ascii="標楷體" w:hAnsi="標楷體"/>
        </w:rPr>
      </w:pPr>
      <w:r>
        <w:rPr>
          <w:rFonts w:ascii="標楷體" w:hAnsi="標楷體" w:hint="eastAsia"/>
        </w:rPr>
        <w:t>評定方式：本案評定方式依投標須知第63點第5款第2目(3)規定。</w:t>
      </w:r>
    </w:p>
    <w:p w:rsidR="00B23549" w:rsidRDefault="002F327A">
      <w:pPr>
        <w:numPr>
          <w:ilvl w:val="0"/>
          <w:numId w:val="4"/>
        </w:numPr>
        <w:tabs>
          <w:tab w:val="clear" w:pos="1440"/>
          <w:tab w:val="left" w:pos="1004"/>
        </w:tabs>
        <w:snapToGrid w:val="0"/>
        <w:ind w:left="1004" w:hanging="502"/>
        <w:jc w:val="both"/>
        <w:rPr>
          <w:rFonts w:ascii="標楷體" w:hAnsi="標楷體"/>
        </w:rPr>
      </w:pPr>
      <w:r>
        <w:rPr>
          <w:rFonts w:ascii="標楷體" w:hAnsi="標楷體" w:hint="eastAsia"/>
        </w:rPr>
        <w:t>評選項目：</w:t>
      </w:r>
    </w:p>
    <w:p w:rsidR="00B23549" w:rsidRDefault="002F327A">
      <w:pPr>
        <w:pStyle w:val="HTML"/>
        <w:numPr>
          <w:ilvl w:val="1"/>
          <w:numId w:val="9"/>
        </w:numPr>
        <w:tabs>
          <w:tab w:val="clear" w:pos="916"/>
          <w:tab w:val="clear" w:pos="2748"/>
          <w:tab w:val="left" w:pos="1506"/>
        </w:tabs>
        <w:snapToGrid w:val="0"/>
        <w:ind w:hanging="92"/>
        <w:rPr>
          <w:rFonts w:ascii="標楷體" w:eastAsia="標楷體" w:hAnsi="標楷體"/>
        </w:rPr>
      </w:pPr>
      <w:r>
        <w:rPr>
          <w:rFonts w:ascii="標楷體" w:eastAsia="標楷體" w:hAnsi="標楷體" w:hint="eastAsia"/>
        </w:rPr>
        <w:t>本案評選項目、</w:t>
      </w:r>
      <w:r>
        <w:rPr>
          <w:rFonts w:ascii="標楷體" w:eastAsia="標楷體" w:hAnsi="標楷體" w:cs="標楷體" w:hint="eastAsia"/>
        </w:rPr>
        <w:t>子項</w:t>
      </w:r>
      <w:r>
        <w:rPr>
          <w:rFonts w:ascii="標楷體" w:eastAsia="標楷體" w:hAnsi="標楷體" w:hint="eastAsia"/>
        </w:rPr>
        <w:t>內容及配分如下表：</w:t>
      </w:r>
    </w:p>
    <w:tbl>
      <w:tblPr>
        <w:tblW w:w="8513" w:type="dxa"/>
        <w:tblInd w:w="6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031"/>
        <w:gridCol w:w="3482"/>
      </w:tblGrid>
      <w:tr w:rsidR="00B23549">
        <w:trPr>
          <w:trHeight w:val="237"/>
        </w:trPr>
        <w:tc>
          <w:tcPr>
            <w:tcW w:w="5031" w:type="dxa"/>
            <w:tcBorders>
              <w:top w:val="single" w:sz="12" w:space="0" w:color="auto"/>
              <w:bottom w:val="double" w:sz="4" w:space="0" w:color="auto"/>
            </w:tcBorders>
          </w:tcPr>
          <w:p w:rsidR="00B23549" w:rsidRDefault="002F327A">
            <w:pPr>
              <w:autoSpaceDE w:val="0"/>
              <w:autoSpaceDN w:val="0"/>
              <w:adjustRightInd w:val="0"/>
              <w:jc w:val="center"/>
              <w:rPr>
                <w:rFonts w:ascii="標楷體" w:hAnsi="標楷體" w:cs="標楷體"/>
                <w:kern w:val="0"/>
              </w:rPr>
            </w:pPr>
            <w:r>
              <w:rPr>
                <w:rFonts w:ascii="標楷體" w:hAnsi="標楷體" w:cs="標楷體" w:hint="eastAsia"/>
                <w:kern w:val="0"/>
              </w:rPr>
              <w:t>評選項目</w:t>
            </w:r>
            <w:r>
              <w:rPr>
                <w:rFonts w:ascii="標楷體" w:hAnsi="標楷體" w:cs="標楷體"/>
                <w:kern w:val="0"/>
              </w:rPr>
              <w:t xml:space="preserve"> </w:t>
            </w:r>
          </w:p>
        </w:tc>
        <w:tc>
          <w:tcPr>
            <w:tcW w:w="3482" w:type="dxa"/>
            <w:tcBorders>
              <w:top w:val="single" w:sz="12" w:space="0" w:color="auto"/>
              <w:bottom w:val="double" w:sz="4" w:space="0" w:color="auto"/>
            </w:tcBorders>
          </w:tcPr>
          <w:p w:rsidR="00B23549" w:rsidRDefault="002F327A">
            <w:pPr>
              <w:autoSpaceDE w:val="0"/>
              <w:autoSpaceDN w:val="0"/>
              <w:adjustRightInd w:val="0"/>
              <w:jc w:val="center"/>
              <w:rPr>
                <w:rFonts w:ascii="標楷體" w:hAnsi="標楷體" w:cs="標楷體"/>
                <w:kern w:val="0"/>
              </w:rPr>
            </w:pPr>
            <w:r>
              <w:rPr>
                <w:rFonts w:ascii="標楷體" w:hAnsi="標楷體" w:cs="標楷體" w:hint="eastAsia"/>
                <w:kern w:val="0"/>
              </w:rPr>
              <w:t>配分(權重)</w:t>
            </w:r>
          </w:p>
        </w:tc>
      </w:tr>
      <w:tr w:rsidR="00B23549">
        <w:trPr>
          <w:trHeight w:val="998"/>
        </w:trPr>
        <w:tc>
          <w:tcPr>
            <w:tcW w:w="5031" w:type="dxa"/>
            <w:tcBorders>
              <w:top w:val="double" w:sz="4" w:space="0" w:color="auto"/>
            </w:tcBorders>
          </w:tcPr>
          <w:p w:rsidR="00B23549" w:rsidRDefault="002F327A">
            <w:pPr>
              <w:autoSpaceDE w:val="0"/>
              <w:autoSpaceDN w:val="0"/>
              <w:adjustRightInd w:val="0"/>
              <w:ind w:left="485" w:hangingChars="202" w:hanging="485"/>
              <w:jc w:val="both"/>
              <w:rPr>
                <w:rFonts w:ascii="標楷體" w:hAnsi="標楷體" w:cs="標楷體"/>
                <w:kern w:val="0"/>
              </w:rPr>
            </w:pPr>
            <w:r>
              <w:rPr>
                <w:rFonts w:ascii="標楷體" w:hAnsi="標楷體" w:cs="標楷體" w:hint="eastAsia"/>
                <w:kern w:val="0"/>
              </w:rPr>
              <w:t>1.</w:t>
            </w:r>
            <w:r>
              <w:rPr>
                <w:rFonts w:ascii="標楷體" w:hAnsi="標楷體" w:cs="細明體" w:hint="eastAsia"/>
                <w:kern w:val="0"/>
              </w:rPr>
              <w:t>水箱消防車之規劃設計</w:t>
            </w:r>
          </w:p>
        </w:tc>
        <w:tc>
          <w:tcPr>
            <w:tcW w:w="3482" w:type="dxa"/>
            <w:tcBorders>
              <w:top w:val="double" w:sz="4" w:space="0" w:color="auto"/>
            </w:tcBorders>
          </w:tcPr>
          <w:p w:rsidR="00B23549" w:rsidRDefault="002F327A">
            <w:pPr>
              <w:autoSpaceDE w:val="0"/>
              <w:autoSpaceDN w:val="0"/>
              <w:adjustRightInd w:val="0"/>
              <w:jc w:val="center"/>
              <w:rPr>
                <w:rFonts w:ascii="標楷體" w:hAnsi="標楷體"/>
                <w:color w:val="FF0000"/>
              </w:rPr>
            </w:pPr>
            <w:r>
              <w:rPr>
                <w:rFonts w:ascii="標楷體" w:hAnsi="標楷體" w:hint="eastAsia"/>
                <w:color w:val="FF0000"/>
              </w:rPr>
              <w:t>35</w:t>
            </w:r>
          </w:p>
        </w:tc>
      </w:tr>
      <w:tr w:rsidR="00B23549">
        <w:trPr>
          <w:trHeight w:val="998"/>
        </w:trPr>
        <w:tc>
          <w:tcPr>
            <w:tcW w:w="5031" w:type="dxa"/>
            <w:tcBorders>
              <w:top w:val="single" w:sz="12" w:space="0" w:color="auto"/>
            </w:tcBorders>
          </w:tcPr>
          <w:p w:rsidR="00B23549" w:rsidRDefault="002F327A">
            <w:pPr>
              <w:autoSpaceDE w:val="0"/>
              <w:autoSpaceDN w:val="0"/>
              <w:adjustRightInd w:val="0"/>
              <w:ind w:left="228" w:hangingChars="95" w:hanging="228"/>
              <w:jc w:val="both"/>
              <w:rPr>
                <w:rFonts w:ascii="標楷體" w:hAnsi="標楷體" w:cs="標楷體"/>
                <w:kern w:val="0"/>
              </w:rPr>
            </w:pPr>
            <w:r>
              <w:rPr>
                <w:rFonts w:ascii="標楷體" w:hAnsi="標楷體" w:cs="標楷體" w:hint="eastAsia"/>
                <w:kern w:val="0"/>
              </w:rPr>
              <w:t>2.</w:t>
            </w:r>
            <w:r>
              <w:rPr>
                <w:rFonts w:ascii="標楷體" w:hAnsi="標楷體" w:hint="eastAsia"/>
              </w:rPr>
              <w:t>水箱消防車電源供應、幫浦系統設計及裝備器材特性、功能及效益</w:t>
            </w:r>
          </w:p>
        </w:tc>
        <w:tc>
          <w:tcPr>
            <w:tcW w:w="3482" w:type="dxa"/>
            <w:tcBorders>
              <w:top w:val="single" w:sz="12" w:space="0" w:color="auto"/>
            </w:tcBorders>
          </w:tcPr>
          <w:p w:rsidR="00B23549" w:rsidRDefault="002F327A">
            <w:pPr>
              <w:autoSpaceDE w:val="0"/>
              <w:autoSpaceDN w:val="0"/>
              <w:adjustRightInd w:val="0"/>
              <w:jc w:val="center"/>
              <w:rPr>
                <w:rFonts w:ascii="標楷體" w:hAnsi="標楷體"/>
                <w:color w:val="FF0000"/>
              </w:rPr>
            </w:pPr>
            <w:r>
              <w:rPr>
                <w:rFonts w:ascii="標楷體" w:hAnsi="標楷體" w:hint="eastAsia"/>
                <w:color w:val="FF0000"/>
              </w:rPr>
              <w:t>25</w:t>
            </w:r>
          </w:p>
        </w:tc>
      </w:tr>
      <w:tr w:rsidR="00B23549">
        <w:trPr>
          <w:trHeight w:val="998"/>
        </w:trPr>
        <w:tc>
          <w:tcPr>
            <w:tcW w:w="5031" w:type="dxa"/>
            <w:tcBorders>
              <w:top w:val="single" w:sz="12" w:space="0" w:color="auto"/>
            </w:tcBorders>
          </w:tcPr>
          <w:p w:rsidR="00B23549" w:rsidRDefault="002F327A">
            <w:pPr>
              <w:autoSpaceDE w:val="0"/>
              <w:autoSpaceDN w:val="0"/>
              <w:adjustRightInd w:val="0"/>
              <w:ind w:left="485" w:hangingChars="202" w:hanging="485"/>
              <w:jc w:val="both"/>
              <w:rPr>
                <w:rFonts w:ascii="標楷體" w:hAnsi="標楷體" w:cs="標楷體"/>
                <w:kern w:val="0"/>
              </w:rPr>
            </w:pPr>
            <w:r>
              <w:rPr>
                <w:rFonts w:ascii="標楷體" w:hAnsi="標楷體" w:cs="標楷體" w:hint="eastAsia"/>
                <w:kern w:val="0"/>
              </w:rPr>
              <w:t>3.</w:t>
            </w:r>
            <w:r>
              <w:rPr>
                <w:rFonts w:ascii="標楷體" w:hAnsi="標楷體" w:hint="eastAsia"/>
              </w:rPr>
              <w:t>過去履約實績與財務狀況</w:t>
            </w:r>
          </w:p>
        </w:tc>
        <w:tc>
          <w:tcPr>
            <w:tcW w:w="3482" w:type="dxa"/>
            <w:tcBorders>
              <w:top w:val="single" w:sz="12" w:space="0" w:color="auto"/>
            </w:tcBorders>
          </w:tcPr>
          <w:p w:rsidR="00B23549" w:rsidRDefault="002F327A">
            <w:pPr>
              <w:autoSpaceDE w:val="0"/>
              <w:autoSpaceDN w:val="0"/>
              <w:adjustRightInd w:val="0"/>
              <w:jc w:val="center"/>
              <w:rPr>
                <w:rFonts w:ascii="標楷體" w:hAnsi="標楷體"/>
                <w:color w:val="FF0000"/>
              </w:rPr>
            </w:pPr>
            <w:r>
              <w:rPr>
                <w:rFonts w:ascii="標楷體" w:hAnsi="標楷體" w:hint="eastAsia"/>
                <w:color w:val="FF0000"/>
              </w:rPr>
              <w:t>20</w:t>
            </w:r>
          </w:p>
        </w:tc>
      </w:tr>
      <w:tr w:rsidR="00B23549">
        <w:trPr>
          <w:trHeight w:val="277"/>
        </w:trPr>
        <w:tc>
          <w:tcPr>
            <w:tcW w:w="5031" w:type="dxa"/>
            <w:tcBorders>
              <w:top w:val="single" w:sz="12" w:space="0" w:color="auto"/>
              <w:bottom w:val="single" w:sz="12" w:space="0" w:color="auto"/>
            </w:tcBorders>
          </w:tcPr>
          <w:p w:rsidR="00B23549" w:rsidRDefault="002F327A">
            <w:pPr>
              <w:autoSpaceDE w:val="0"/>
              <w:autoSpaceDN w:val="0"/>
              <w:adjustRightInd w:val="0"/>
              <w:ind w:left="-20"/>
              <w:jc w:val="both"/>
              <w:rPr>
                <w:rFonts w:ascii="標楷體" w:hAnsi="標楷體" w:cs="標楷體"/>
                <w:kern w:val="0"/>
              </w:rPr>
            </w:pPr>
            <w:r>
              <w:rPr>
                <w:rFonts w:ascii="標楷體" w:hAnsi="標楷體" w:cs="標楷體" w:hint="eastAsia"/>
                <w:kern w:val="0"/>
              </w:rPr>
              <w:t>4.</w:t>
            </w:r>
            <w:r>
              <w:rPr>
                <w:rFonts w:ascii="標楷體" w:hAnsi="標楷體" w:hint="eastAsia"/>
              </w:rPr>
              <w:t>固定價格之</w:t>
            </w:r>
            <w:r>
              <w:rPr>
                <w:rFonts w:ascii="標楷體" w:hAnsi="標楷體" w:cs="標楷體" w:hint="eastAsia"/>
                <w:kern w:val="0"/>
              </w:rPr>
              <w:t>創意</w:t>
            </w:r>
          </w:p>
        </w:tc>
        <w:tc>
          <w:tcPr>
            <w:tcW w:w="3482" w:type="dxa"/>
            <w:tcBorders>
              <w:top w:val="single" w:sz="12" w:space="0" w:color="auto"/>
              <w:bottom w:val="single" w:sz="12" w:space="0" w:color="auto"/>
            </w:tcBorders>
          </w:tcPr>
          <w:p w:rsidR="00B23549" w:rsidRDefault="002F327A">
            <w:pPr>
              <w:autoSpaceDE w:val="0"/>
              <w:autoSpaceDN w:val="0"/>
              <w:adjustRightInd w:val="0"/>
              <w:jc w:val="center"/>
              <w:rPr>
                <w:rFonts w:ascii="標楷體" w:hAnsi="標楷體" w:cs="標楷體"/>
                <w:dstrike/>
                <w:color w:val="FF0000"/>
                <w:kern w:val="0"/>
              </w:rPr>
            </w:pPr>
            <w:r>
              <w:rPr>
                <w:rFonts w:ascii="標楷體" w:hAnsi="標楷體" w:hint="eastAsia"/>
                <w:color w:val="FF0000"/>
              </w:rPr>
              <w:t>15</w:t>
            </w:r>
          </w:p>
        </w:tc>
      </w:tr>
      <w:tr w:rsidR="00B23549">
        <w:trPr>
          <w:trHeight w:val="277"/>
        </w:trPr>
        <w:tc>
          <w:tcPr>
            <w:tcW w:w="5031" w:type="dxa"/>
            <w:tcBorders>
              <w:top w:val="single" w:sz="12" w:space="0" w:color="auto"/>
              <w:bottom w:val="single" w:sz="12" w:space="0" w:color="auto"/>
            </w:tcBorders>
          </w:tcPr>
          <w:p w:rsidR="00B23549" w:rsidRDefault="002F327A">
            <w:pPr>
              <w:autoSpaceDE w:val="0"/>
              <w:autoSpaceDN w:val="0"/>
              <w:adjustRightInd w:val="0"/>
              <w:ind w:left="-20"/>
              <w:jc w:val="both"/>
              <w:rPr>
                <w:rFonts w:ascii="標楷體" w:hAnsi="標楷體" w:cs="標楷體"/>
                <w:kern w:val="0"/>
              </w:rPr>
            </w:pPr>
            <w:r>
              <w:rPr>
                <w:rFonts w:ascii="標楷體" w:hAnsi="標楷體" w:cs="標楷體" w:hint="eastAsia"/>
                <w:kern w:val="0"/>
              </w:rPr>
              <w:t>5.簡報及詢答</w:t>
            </w:r>
          </w:p>
        </w:tc>
        <w:tc>
          <w:tcPr>
            <w:tcW w:w="3482" w:type="dxa"/>
            <w:tcBorders>
              <w:top w:val="single" w:sz="12" w:space="0" w:color="auto"/>
              <w:bottom w:val="single" w:sz="12" w:space="0" w:color="auto"/>
            </w:tcBorders>
          </w:tcPr>
          <w:p w:rsidR="00B23549" w:rsidRDefault="002F327A">
            <w:pPr>
              <w:autoSpaceDE w:val="0"/>
              <w:autoSpaceDN w:val="0"/>
              <w:adjustRightInd w:val="0"/>
              <w:jc w:val="center"/>
              <w:rPr>
                <w:rFonts w:ascii="標楷體" w:hAnsi="標楷體" w:cs="標楷體"/>
                <w:color w:val="FF0000"/>
                <w:kern w:val="0"/>
              </w:rPr>
            </w:pPr>
            <w:r>
              <w:rPr>
                <w:rFonts w:ascii="標楷體" w:hAnsi="標楷體" w:cs="標楷體" w:hint="eastAsia"/>
                <w:color w:val="FF0000"/>
                <w:kern w:val="0"/>
              </w:rPr>
              <w:t>5</w:t>
            </w:r>
          </w:p>
        </w:tc>
      </w:tr>
      <w:tr w:rsidR="00B23549">
        <w:trPr>
          <w:trHeight w:val="237"/>
        </w:trPr>
        <w:tc>
          <w:tcPr>
            <w:tcW w:w="5031" w:type="dxa"/>
            <w:tcBorders>
              <w:top w:val="single" w:sz="12" w:space="0" w:color="auto"/>
            </w:tcBorders>
          </w:tcPr>
          <w:p w:rsidR="00B23549" w:rsidRDefault="002F327A">
            <w:pPr>
              <w:autoSpaceDE w:val="0"/>
              <w:autoSpaceDN w:val="0"/>
              <w:adjustRightInd w:val="0"/>
              <w:jc w:val="center"/>
              <w:rPr>
                <w:rFonts w:ascii="標楷體" w:hAnsi="標楷體" w:cs="標楷體"/>
                <w:kern w:val="0"/>
              </w:rPr>
            </w:pPr>
            <w:r>
              <w:rPr>
                <w:rFonts w:ascii="標楷體" w:hAnsi="標楷體" w:cs="標楷體" w:hint="eastAsia"/>
                <w:kern w:val="0"/>
              </w:rPr>
              <w:t>總分</w:t>
            </w:r>
          </w:p>
        </w:tc>
        <w:tc>
          <w:tcPr>
            <w:tcW w:w="3482" w:type="dxa"/>
            <w:tcBorders>
              <w:top w:val="single" w:sz="12" w:space="0" w:color="auto"/>
            </w:tcBorders>
          </w:tcPr>
          <w:p w:rsidR="00B23549" w:rsidRDefault="002F327A">
            <w:pPr>
              <w:autoSpaceDE w:val="0"/>
              <w:autoSpaceDN w:val="0"/>
              <w:adjustRightInd w:val="0"/>
              <w:jc w:val="center"/>
              <w:rPr>
                <w:rFonts w:ascii="標楷體" w:hAnsi="標楷體" w:cs="標楷體"/>
                <w:color w:val="FF0000"/>
                <w:kern w:val="0"/>
              </w:rPr>
            </w:pPr>
            <w:r>
              <w:rPr>
                <w:rFonts w:ascii="標楷體" w:hAnsi="標楷體" w:cs="標楷體"/>
                <w:color w:val="FF0000"/>
                <w:kern w:val="0"/>
              </w:rPr>
              <w:t>100</w:t>
            </w:r>
          </w:p>
        </w:tc>
      </w:tr>
    </w:tbl>
    <w:p w:rsidR="00B23549" w:rsidRDefault="002F327A">
      <w:pPr>
        <w:pStyle w:val="HTML"/>
        <w:numPr>
          <w:ilvl w:val="1"/>
          <w:numId w:val="9"/>
        </w:numPr>
        <w:tabs>
          <w:tab w:val="clear" w:pos="916"/>
          <w:tab w:val="clear" w:pos="2748"/>
          <w:tab w:val="left" w:pos="1506"/>
        </w:tabs>
        <w:snapToGrid w:val="0"/>
        <w:ind w:left="1506" w:hanging="502"/>
        <w:rPr>
          <w:rFonts w:ascii="標楷體" w:eastAsia="標楷體" w:hAnsi="標楷體"/>
        </w:rPr>
      </w:pPr>
      <w:r>
        <w:rPr>
          <w:rFonts w:ascii="標楷體" w:eastAsia="標楷體" w:hAnsi="標楷體" w:cs="Times New Roman" w:hint="eastAsia"/>
          <w:kern w:val="2"/>
        </w:rPr>
        <w:t>倘受評廠商之服務建議書內容未盡符合招標文件規定</w:t>
      </w:r>
      <w:r>
        <w:rPr>
          <w:rFonts w:ascii="標楷體" w:eastAsia="標楷體" w:hAnsi="標楷體" w:hint="eastAsia"/>
        </w:rPr>
        <w:t>，除本評選須知或其他招標文件之評選規定，已載明不符合者不納入為評選對象者外，仍得參加評選，並依「採購評選委員會審議規則」第3條規定送評選委員會供評選參考，評選委員依不符合之情形，例如無資料、有錯誤、不符合需求者，給予各評選項目或子項較低之評分。</w:t>
      </w:r>
    </w:p>
    <w:p w:rsidR="00B23549" w:rsidRDefault="002F327A">
      <w:pPr>
        <w:pStyle w:val="HTML"/>
        <w:numPr>
          <w:ilvl w:val="1"/>
          <w:numId w:val="9"/>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廠商投標文件內容於各評選項目之表現及評分：</w:t>
      </w:r>
      <w:r>
        <w:rPr>
          <w:rFonts w:ascii="標楷體" w:eastAsia="標楷體" w:hAnsi="標楷體"/>
        </w:rPr>
        <w:br/>
        <w:t>1.</w:t>
      </w:r>
      <w:r>
        <w:rPr>
          <w:rFonts w:ascii="標楷體" w:eastAsia="標楷體" w:hAnsi="標楷體" w:hint="eastAsia"/>
        </w:rPr>
        <w:t xml:space="preserve"> 屬優者(高水準，明顯超越需求；給予該項85%～100%之評分)。</w:t>
      </w:r>
      <w:r>
        <w:rPr>
          <w:rFonts w:ascii="標楷體" w:eastAsia="標楷體" w:hAnsi="標楷體"/>
        </w:rPr>
        <w:br/>
      </w:r>
      <w:r>
        <w:rPr>
          <w:rFonts w:ascii="標楷體" w:eastAsia="標楷體" w:hAnsi="標楷體" w:hint="eastAsia"/>
        </w:rPr>
        <w:t>2.</w:t>
      </w:r>
      <w:r>
        <w:rPr>
          <w:rFonts w:ascii="標楷體" w:eastAsia="標楷體" w:hAnsi="標楷體"/>
        </w:rPr>
        <w:t xml:space="preserve"> </w:t>
      </w:r>
      <w:r>
        <w:rPr>
          <w:rFonts w:ascii="標楷體" w:eastAsia="標楷體" w:hAnsi="標楷體" w:hint="eastAsia"/>
        </w:rPr>
        <w:t>屬佳者(高於一般水準，略超越需求；給予該項76%～84%之評分)。</w:t>
      </w:r>
      <w:r>
        <w:rPr>
          <w:rFonts w:ascii="標楷體" w:eastAsia="標楷體" w:hAnsi="標楷體"/>
        </w:rPr>
        <w:br/>
      </w:r>
      <w:r>
        <w:rPr>
          <w:rFonts w:ascii="標楷體" w:eastAsia="標楷體" w:hAnsi="標楷體" w:hint="eastAsia"/>
        </w:rPr>
        <w:t>3. 屬普通者(一般水準，符合需求；給予該項70%～75%之評分)。</w:t>
      </w:r>
      <w:r>
        <w:rPr>
          <w:rFonts w:ascii="標楷體" w:eastAsia="標楷體" w:hAnsi="標楷體"/>
        </w:rPr>
        <w:br/>
      </w:r>
      <w:r>
        <w:rPr>
          <w:rFonts w:ascii="標楷體" w:eastAsia="標楷體" w:hAnsi="標楷體" w:hint="eastAsia"/>
        </w:rPr>
        <w:t>4. 屬差者(低於一般水準，略低於需求；給予該項60%～69%之評分)。</w:t>
      </w:r>
      <w:r>
        <w:rPr>
          <w:rFonts w:ascii="標楷體" w:eastAsia="標楷體" w:hAnsi="標楷體"/>
        </w:rPr>
        <w:br/>
      </w:r>
      <w:r>
        <w:rPr>
          <w:rFonts w:ascii="標楷體" w:eastAsia="標楷體" w:hAnsi="標楷體" w:hint="eastAsia"/>
        </w:rPr>
        <w:t>5. 屬劣者(無資料、有錯誤、不符合需求；給予該項0%~59%之評分)。。</w:t>
      </w:r>
    </w:p>
    <w:p w:rsidR="00B23549" w:rsidRDefault="002F327A">
      <w:pPr>
        <w:numPr>
          <w:ilvl w:val="0"/>
          <w:numId w:val="4"/>
        </w:numPr>
        <w:tabs>
          <w:tab w:val="clear" w:pos="1440"/>
          <w:tab w:val="left" w:pos="1004"/>
        </w:tabs>
        <w:snapToGrid w:val="0"/>
        <w:ind w:left="1004" w:hanging="502"/>
        <w:jc w:val="both"/>
        <w:rPr>
          <w:rFonts w:ascii="標楷體" w:hAnsi="標楷體"/>
        </w:rPr>
      </w:pPr>
      <w:r>
        <w:rPr>
          <w:rFonts w:ascii="標楷體" w:hAnsi="標楷體" w:hint="eastAsia"/>
        </w:rPr>
        <w:t>簡報：</w:t>
      </w:r>
      <w:r>
        <w:rPr>
          <w:rFonts w:ascii="標楷體" w:hAnsi="標楷體" w:hint="eastAsia"/>
          <w:bCs/>
        </w:rPr>
        <w:t>□廠商無須簡報，評選委員會以書面審查方式進行評選。</w:t>
      </w:r>
    </w:p>
    <w:p w:rsidR="00B23549" w:rsidRDefault="002F327A">
      <w:pPr>
        <w:snapToGrid w:val="0"/>
        <w:ind w:left="1701"/>
        <w:jc w:val="both"/>
        <w:rPr>
          <w:rFonts w:ascii="標楷體" w:hAnsi="標楷體"/>
        </w:rPr>
      </w:pPr>
      <w:r>
        <w:rPr>
          <w:rFonts w:ascii="標楷體" w:hAnsi="標楷體" w:hint="eastAsia"/>
          <w:bCs/>
        </w:rPr>
        <w:t>■辦理廠商簡報，並依下列規定辦理：</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簡報之順序於評選會議開始前，□由資格及【規格】審查合格之廠商代表抽籤決定之，未出席者由本機關代為抽籤；■</w:t>
      </w:r>
      <w:r>
        <w:rPr>
          <w:rFonts w:ascii="標楷體" w:eastAsia="標楷體" w:hAnsi="標楷體" w:cs="標楷體" w:hint="eastAsia"/>
        </w:rPr>
        <w:t>依</w:t>
      </w:r>
      <w:r>
        <w:rPr>
          <w:rFonts w:ascii="標楷體" w:eastAsia="標楷體" w:hAnsi="標楷體" w:hint="eastAsia"/>
        </w:rPr>
        <w:t>各合格廠商</w:t>
      </w:r>
      <w:r>
        <w:rPr>
          <w:rFonts w:ascii="標楷體" w:eastAsia="標楷體" w:hAnsi="標楷體" w:cs="標楷體" w:hint="eastAsia"/>
        </w:rPr>
        <w:t>投標文件送達時間先後順序決定</w:t>
      </w:r>
      <w:r>
        <w:rPr>
          <w:rFonts w:ascii="標楷體" w:eastAsia="標楷體" w:hAnsi="標楷體" w:hint="eastAsia"/>
        </w:rPr>
        <w:t>。</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u w:val="single"/>
        </w:rPr>
        <w:t>廠商簡報前如唱名3次未到者（包括遲到者），視同放棄簡報及答詢權利，且該廠商之「簡報及答詢」項目以零分計算</w:t>
      </w:r>
      <w:r>
        <w:rPr>
          <w:rFonts w:ascii="標楷體" w:eastAsia="標楷體" w:hAnsi="標楷體" w:hint="eastAsia"/>
        </w:rPr>
        <w:t>。</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 xml:space="preserve">廠商參與簡報相關成員不得超過【 </w:t>
      </w:r>
      <w:r>
        <w:rPr>
          <w:rFonts w:ascii="標楷體" w:eastAsia="標楷體" w:hAnsi="標楷體" w:hint="eastAsia"/>
          <w:color w:val="FF0000"/>
        </w:rPr>
        <w:t>5</w:t>
      </w:r>
      <w:r>
        <w:rPr>
          <w:rFonts w:ascii="標楷體" w:eastAsia="標楷體" w:hAnsi="標楷體" w:hint="eastAsia"/>
        </w:rPr>
        <w:t xml:space="preserve"> 】人（含設備操作及協助人員等），簡報人員需為本案計畫主持人，如計畫主持人因故無法參加簡報時，應由協同主持人或經本委員會同意由廠商其他工作成員代表簡報。</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color w:val="FF0000"/>
          <w:u w:val="single"/>
        </w:rPr>
        <w:t>簡報及詢答時間規定如下：</w:t>
      </w:r>
    </w:p>
    <w:p w:rsidR="00B23549" w:rsidRDefault="002F327A">
      <w:pPr>
        <w:pStyle w:val="HTML"/>
        <w:numPr>
          <w:ilvl w:val="0"/>
          <w:numId w:val="11"/>
        </w:numPr>
        <w:tabs>
          <w:tab w:val="clear" w:pos="916"/>
          <w:tab w:val="clear" w:pos="1832"/>
          <w:tab w:val="clear" w:pos="2748"/>
          <w:tab w:val="left" w:pos="1506"/>
          <w:tab w:val="left" w:pos="1701"/>
        </w:tabs>
        <w:snapToGrid w:val="0"/>
        <w:ind w:left="1701" w:hanging="283"/>
        <w:rPr>
          <w:rFonts w:ascii="標楷體" w:eastAsia="標楷體" w:hAnsi="標楷體"/>
          <w:color w:val="FF0000"/>
          <w:u w:val="single"/>
        </w:rPr>
      </w:pPr>
      <w:r>
        <w:rPr>
          <w:rFonts w:ascii="標楷體" w:eastAsia="標楷體" w:hAnsi="標楷體" w:hint="eastAsia"/>
          <w:color w:val="FF0000"/>
          <w:u w:val="single"/>
        </w:rPr>
        <w:t xml:space="preserve">投標廠商3家(含)以下，不得超過【 </w:t>
      </w:r>
      <w:r>
        <w:rPr>
          <w:rFonts w:ascii="Times New Roman" w:eastAsia="標楷體" w:hAnsi="Times New Roman" w:hint="eastAsia"/>
          <w:color w:val="FF0000"/>
          <w:u w:val="single"/>
        </w:rPr>
        <w:t>15</w:t>
      </w:r>
      <w:r>
        <w:rPr>
          <w:rFonts w:ascii="標楷體" w:eastAsia="標楷體" w:hAnsi="標楷體" w:hint="eastAsia"/>
          <w:color w:val="FF0000"/>
          <w:u w:val="single"/>
        </w:rPr>
        <w:t xml:space="preserve"> 】分鐘，逾時將強制停止簡報，本機關</w:t>
      </w:r>
      <w:r>
        <w:rPr>
          <w:rFonts w:ascii="標楷體" w:eastAsia="標楷體" w:hAnsi="標楷體" w:cs="標楷體" w:hint="eastAsia"/>
          <w:color w:val="FF0000"/>
          <w:u w:val="single"/>
        </w:rPr>
        <w:t>工作人員於第</w:t>
      </w:r>
      <w:r>
        <w:rPr>
          <w:rFonts w:ascii="標楷體" w:eastAsia="標楷體" w:hAnsi="標楷體" w:cs="TimesNewRoman" w:hint="eastAsia"/>
          <w:color w:val="FF0000"/>
          <w:u w:val="single"/>
        </w:rPr>
        <w:t xml:space="preserve">【 </w:t>
      </w:r>
      <w:r>
        <w:rPr>
          <w:rFonts w:ascii="Times New Roman" w:eastAsia="標楷體" w:hAnsi="Times New Roman" w:hint="eastAsia"/>
          <w:color w:val="FF0000"/>
          <w:u w:val="single"/>
        </w:rPr>
        <w:t>13</w:t>
      </w:r>
      <w:r>
        <w:rPr>
          <w:rFonts w:ascii="標楷體" w:eastAsia="標楷體" w:hAnsi="標楷體" w:cs="TimesNewRoman" w:hint="eastAsia"/>
          <w:color w:val="FF0000"/>
          <w:u w:val="single"/>
        </w:rPr>
        <w:t xml:space="preserve"> 】</w:t>
      </w:r>
      <w:r>
        <w:rPr>
          <w:rFonts w:ascii="標楷體" w:eastAsia="標楷體" w:hAnsi="標楷體" w:cs="標楷體" w:hint="eastAsia"/>
          <w:color w:val="FF0000"/>
          <w:u w:val="single"/>
        </w:rPr>
        <w:t>分鐘按鈴一響提示，第</w:t>
      </w:r>
      <w:r>
        <w:rPr>
          <w:rFonts w:ascii="標楷體" w:eastAsia="標楷體" w:hAnsi="標楷體" w:cs="TimesNewRoman" w:hint="eastAsia"/>
          <w:color w:val="FF0000"/>
          <w:u w:val="single"/>
        </w:rPr>
        <w:t xml:space="preserve">【 </w:t>
      </w:r>
      <w:r>
        <w:rPr>
          <w:rFonts w:ascii="Times New Roman" w:eastAsia="標楷體" w:hAnsi="Times New Roman" w:hint="eastAsia"/>
          <w:color w:val="FF0000"/>
          <w:u w:val="single"/>
        </w:rPr>
        <w:t>15</w:t>
      </w:r>
      <w:r>
        <w:rPr>
          <w:rFonts w:ascii="標楷體" w:eastAsia="標楷體" w:hAnsi="標楷體" w:cs="TimesNewRoman" w:hint="eastAsia"/>
          <w:color w:val="FF0000"/>
          <w:u w:val="single"/>
        </w:rPr>
        <w:t xml:space="preserve"> 】</w:t>
      </w:r>
      <w:r>
        <w:rPr>
          <w:rFonts w:ascii="標楷體" w:eastAsia="標楷體" w:hAnsi="標楷體" w:cs="標楷體" w:hint="eastAsia"/>
          <w:color w:val="FF0000"/>
          <w:u w:val="single"/>
        </w:rPr>
        <w:t>分鐘按鈴二響結束簡報</w:t>
      </w:r>
      <w:r>
        <w:rPr>
          <w:rFonts w:ascii="標楷體" w:eastAsia="標楷體" w:hAnsi="標楷體" w:hint="eastAsia"/>
          <w:color w:val="FF0000"/>
          <w:u w:val="single"/>
        </w:rPr>
        <w:t>。</w:t>
      </w:r>
    </w:p>
    <w:p w:rsidR="00B23549" w:rsidRDefault="002F327A">
      <w:pPr>
        <w:pStyle w:val="HTML"/>
        <w:numPr>
          <w:ilvl w:val="0"/>
          <w:numId w:val="11"/>
        </w:numPr>
        <w:tabs>
          <w:tab w:val="clear" w:pos="916"/>
          <w:tab w:val="clear" w:pos="1832"/>
          <w:tab w:val="clear" w:pos="2748"/>
          <w:tab w:val="left" w:pos="1506"/>
          <w:tab w:val="left" w:pos="1701"/>
        </w:tabs>
        <w:snapToGrid w:val="0"/>
        <w:ind w:left="1701" w:hanging="283"/>
        <w:rPr>
          <w:rFonts w:ascii="標楷體" w:eastAsia="標楷體" w:hAnsi="標楷體"/>
          <w:color w:val="FF0000"/>
          <w:u w:val="single"/>
        </w:rPr>
      </w:pPr>
      <w:r>
        <w:rPr>
          <w:rFonts w:ascii="標楷體" w:eastAsia="標楷體" w:hAnsi="標楷體" w:hint="eastAsia"/>
          <w:color w:val="FF0000"/>
          <w:u w:val="single"/>
        </w:rPr>
        <w:lastRenderedPageBreak/>
        <w:t>投標廠商4家(含)以上，不得超過【 12 】分鐘，逾時將強制停止簡報，本機關工作人員於第【 10 】分鐘按鈴一響提示，第【 12 】分鐘按鈴二響結束簡報。</w:t>
      </w:r>
    </w:p>
    <w:p w:rsidR="00B23549" w:rsidRDefault="002F327A">
      <w:pPr>
        <w:pStyle w:val="HTML"/>
        <w:numPr>
          <w:ilvl w:val="0"/>
          <w:numId w:val="11"/>
        </w:numPr>
        <w:tabs>
          <w:tab w:val="clear" w:pos="916"/>
          <w:tab w:val="clear" w:pos="1832"/>
          <w:tab w:val="clear" w:pos="2748"/>
          <w:tab w:val="left" w:pos="1506"/>
          <w:tab w:val="left" w:pos="1701"/>
        </w:tabs>
        <w:snapToGrid w:val="0"/>
        <w:ind w:left="1701" w:hanging="283"/>
        <w:rPr>
          <w:rFonts w:ascii="標楷體" w:eastAsia="標楷體" w:hAnsi="標楷體"/>
        </w:rPr>
      </w:pPr>
      <w:r>
        <w:rPr>
          <w:rFonts w:ascii="標楷體" w:eastAsia="標楷體" w:hAnsi="標楷體" w:hint="eastAsia"/>
          <w:color w:val="FF0000"/>
          <w:u w:val="single"/>
        </w:rPr>
        <w:t>本案採【統問統答，評選委員全部1次提問完畢後，投標廠商綜合回答所有提問】方式，時間不得超過【 10 】分鐘，本機關工作人員於第【 8 】分鐘按鈴一響提示，第【 10 】分鐘按鈴二響結束答覆。</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rPr>
      </w:pPr>
      <w:r>
        <w:rPr>
          <w:rFonts w:ascii="標楷體" w:eastAsia="標楷體" w:hAnsi="標楷體"/>
        </w:rPr>
        <w:t>投標廠商依招標文件規定進行簡報時，應以投標文件之內容為限，不得</w:t>
      </w:r>
      <w:r>
        <w:rPr>
          <w:rFonts w:ascii="標楷體" w:eastAsia="標楷體" w:hAnsi="標楷體" w:hint="eastAsia"/>
        </w:rPr>
        <w:t>利用簡報更改投標文件內容，廠商另行提出變更或補充資料者，該資料應不納入評選；所以，廠商簡報資料不得於現場發送。</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cs="標楷體"/>
          <w:shd w:val="clear" w:color="auto" w:fill="00FFFF"/>
        </w:rPr>
      </w:pPr>
      <w:r>
        <w:rPr>
          <w:rFonts w:ascii="標楷體" w:eastAsia="標楷體" w:hAnsi="標楷體" w:hint="eastAsia"/>
        </w:rPr>
        <w:t>有關簡報所需之硬體設備部分，主辦單位僅供投影螢幕，餘所需器材請自行備妥。</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cs="標楷體"/>
          <w:shd w:val="clear" w:color="auto" w:fill="00FFFF"/>
        </w:rPr>
      </w:pPr>
      <w:r>
        <w:rPr>
          <w:rFonts w:ascii="標楷體" w:eastAsia="標楷體" w:hAnsi="標楷體" w:cs="標楷體" w:hint="eastAsia"/>
        </w:rPr>
        <w:t>廠商簡報及委員詢問事項，應與評選項目有關。</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cs="標楷體"/>
        </w:rPr>
      </w:pPr>
      <w:r>
        <w:rPr>
          <w:rFonts w:ascii="標楷體" w:eastAsia="標楷體" w:hAnsi="標楷體" w:cs="標楷體" w:hint="eastAsia"/>
        </w:rPr>
        <w:t>簡報及現場詢答，非屬採行協商措施性質者，不應要求廠商更改投標文件內容，或提供機關優惠回饋。</w:t>
      </w:r>
    </w:p>
    <w:p w:rsidR="00B23549" w:rsidRDefault="002F327A">
      <w:pPr>
        <w:pStyle w:val="HTML"/>
        <w:numPr>
          <w:ilvl w:val="1"/>
          <w:numId w:val="10"/>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各廠商簡報時其他廠商應退席，廠商簡報及答詢完畢後即應離席，評選委員會討論及決議時所有廠商一律退席。</w:t>
      </w:r>
    </w:p>
    <w:p w:rsidR="00B23549" w:rsidRDefault="002F327A">
      <w:pPr>
        <w:numPr>
          <w:ilvl w:val="0"/>
          <w:numId w:val="4"/>
        </w:numPr>
        <w:tabs>
          <w:tab w:val="clear" w:pos="1440"/>
          <w:tab w:val="left" w:pos="1004"/>
        </w:tabs>
        <w:snapToGrid w:val="0"/>
        <w:ind w:left="1004" w:hanging="502"/>
        <w:jc w:val="both"/>
        <w:rPr>
          <w:rFonts w:ascii="標楷體" w:hAnsi="標楷體"/>
        </w:rPr>
      </w:pPr>
      <w:r>
        <w:rPr>
          <w:rFonts w:ascii="標楷體" w:hAnsi="標楷體" w:hint="eastAsia"/>
        </w:rPr>
        <w:t>評</w:t>
      </w:r>
      <w:r>
        <w:rPr>
          <w:rFonts w:ascii="標楷體" w:hAnsi="標楷體" w:cs="細明體" w:hint="eastAsia"/>
          <w:kern w:val="0"/>
        </w:rPr>
        <w:t>選會議</w:t>
      </w:r>
      <w:r>
        <w:rPr>
          <w:rFonts w:ascii="標楷體" w:hAnsi="標楷體" w:hint="eastAsia"/>
        </w:rPr>
        <w:t>：</w:t>
      </w:r>
    </w:p>
    <w:p w:rsidR="00A33631" w:rsidRPr="00B4227C" w:rsidRDefault="00A33631" w:rsidP="00A33631">
      <w:pPr>
        <w:pStyle w:val="HTML"/>
        <w:numPr>
          <w:ilvl w:val="1"/>
          <w:numId w:val="12"/>
        </w:numPr>
        <w:tabs>
          <w:tab w:val="clear" w:pos="916"/>
          <w:tab w:val="clear" w:pos="2748"/>
          <w:tab w:val="left" w:pos="1506"/>
        </w:tabs>
        <w:snapToGrid w:val="0"/>
        <w:ind w:left="1506" w:hanging="502"/>
        <w:rPr>
          <w:rFonts w:ascii="標楷體" w:eastAsia="標楷體" w:hAnsi="標楷體"/>
        </w:rPr>
      </w:pPr>
      <w:r w:rsidRPr="00B4227C">
        <w:rPr>
          <w:rFonts w:ascii="標楷體" w:eastAsia="標楷體" w:hAnsi="標楷體" w:hint="eastAsia"/>
          <w:color w:val="FF0000"/>
        </w:rPr>
        <w:t>本委員會會議之決議，應有委員總額2/3以上出席，其決議應經出席委員過半數之同意行之，出席委員中專家、學者人數應達出席委員人數1/2以上。</w:t>
      </w:r>
    </w:p>
    <w:p w:rsidR="00B23549" w:rsidRPr="00B4227C" w:rsidRDefault="00A33631" w:rsidP="00A33631">
      <w:pPr>
        <w:pStyle w:val="HTML"/>
        <w:tabs>
          <w:tab w:val="clear" w:pos="916"/>
          <w:tab w:val="clear" w:pos="2748"/>
          <w:tab w:val="left" w:pos="1506"/>
        </w:tabs>
        <w:snapToGrid w:val="0"/>
        <w:ind w:left="1506"/>
        <w:rPr>
          <w:rFonts w:ascii="Times New Roman" w:eastAsia="標楷體" w:hAnsi="Times New Roman" w:cs="Times New Roman"/>
        </w:rPr>
      </w:pPr>
      <w:r w:rsidRPr="00B4227C">
        <w:rPr>
          <w:rFonts w:ascii="Times New Roman" w:eastAsia="標楷體" w:hAnsi="Times New Roman" w:cs="Times New Roman" w:hint="eastAsia"/>
        </w:rPr>
        <w:t>以上評選委員會出席人數符合規定，但召集人及副召集人如均無法出席會議者，應另訂時間辦理評選會議。</w:t>
      </w:r>
    </w:p>
    <w:p w:rsidR="00A33631" w:rsidRPr="00B4227C" w:rsidRDefault="00A33631" w:rsidP="00A33631">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pPr>
      <w:r w:rsidRPr="00B4227C">
        <w:rPr>
          <w:rFonts w:hint="eastAsia"/>
        </w:rPr>
        <w:t>專家學者人數：扣除下列人員後，其餘專家學者人數合計應達委員會總人數二分之一以上：</w:t>
      </w:r>
    </w:p>
    <w:p w:rsidR="00A33631" w:rsidRPr="00B4227C" w:rsidRDefault="00A33631" w:rsidP="00A33631">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pPr>
      <w:r w:rsidRPr="00B4227C">
        <w:rPr>
          <w:rFonts w:hint="eastAsia"/>
        </w:rPr>
        <w:t xml:space="preserve">(1) </w:t>
      </w:r>
      <w:r w:rsidRPr="00B4227C">
        <w:rPr>
          <w:rFonts w:hint="eastAsia"/>
        </w:rPr>
        <w:t>本府所屬公立學校之現職人員。</w:t>
      </w:r>
    </w:p>
    <w:p w:rsidR="00A33631" w:rsidRPr="00B4227C" w:rsidRDefault="00A33631" w:rsidP="00A33631">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pPr>
      <w:r w:rsidRPr="00B4227C">
        <w:rPr>
          <w:rFonts w:hint="eastAsia"/>
        </w:rPr>
        <w:t xml:space="preserve">(2) </w:t>
      </w:r>
      <w:r w:rsidRPr="00B4227C">
        <w:rPr>
          <w:rFonts w:hint="eastAsia"/>
        </w:rPr>
        <w:t>本府所屬公營事業之現職人員。</w:t>
      </w:r>
    </w:p>
    <w:p w:rsidR="00A33631" w:rsidRPr="001A2E80" w:rsidRDefault="00A33631" w:rsidP="00A33631">
      <w:pPr>
        <w:widowControl/>
        <w:tabs>
          <w:tab w:val="left" w:pos="150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506"/>
      </w:pPr>
      <w:r w:rsidRPr="00B4227C">
        <w:rPr>
          <w:rFonts w:hint="eastAsia"/>
        </w:rPr>
        <w:t xml:space="preserve">(3) </w:t>
      </w:r>
      <w:r w:rsidRPr="00B4227C">
        <w:rPr>
          <w:rFonts w:hint="eastAsia"/>
        </w:rPr>
        <w:t>採購機關（含洽辦機關）退休或離職未達</w:t>
      </w:r>
      <w:r w:rsidRPr="00B4227C">
        <w:rPr>
          <w:rFonts w:hint="eastAsia"/>
        </w:rPr>
        <w:t>3</w:t>
      </w:r>
      <w:r w:rsidRPr="00B4227C">
        <w:rPr>
          <w:rFonts w:hint="eastAsia"/>
        </w:rPr>
        <w:t>年之人員。</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cs="標楷體"/>
        </w:rPr>
      </w:pPr>
      <w:r>
        <w:rPr>
          <w:rFonts w:ascii="標楷體" w:eastAsia="標楷體" w:hAnsi="標楷體" w:cs="標楷體" w:hint="eastAsia"/>
        </w:rPr>
        <w:t>評選保密規定：</w:t>
      </w:r>
    </w:p>
    <w:p w:rsidR="00B23549" w:rsidRDefault="002F327A">
      <w:pPr>
        <w:pStyle w:val="HTML"/>
        <w:tabs>
          <w:tab w:val="clear" w:pos="916"/>
          <w:tab w:val="clear" w:pos="1832"/>
          <w:tab w:val="clear" w:pos="2748"/>
          <w:tab w:val="clear" w:pos="3664"/>
          <w:tab w:val="clear" w:pos="4580"/>
          <w:tab w:val="clear" w:pos="5496"/>
          <w:tab w:val="left" w:pos="1004"/>
          <w:tab w:val="left" w:pos="1800"/>
        </w:tabs>
        <w:snapToGrid w:val="0"/>
        <w:ind w:leftChars="600" w:left="1620" w:hangingChars="75" w:hanging="180"/>
        <w:rPr>
          <w:rFonts w:ascii="標楷體" w:eastAsia="標楷體" w:hAnsi="標楷體"/>
        </w:rPr>
      </w:pPr>
      <w:r>
        <w:rPr>
          <w:rFonts w:ascii="標楷體" w:eastAsia="標楷體" w:hAnsi="標楷體" w:hint="eastAsia"/>
        </w:rPr>
        <w:t>1.</w:t>
      </w:r>
      <w:r>
        <w:rPr>
          <w:rFonts w:ascii="標楷體" w:eastAsia="標楷體" w:hAnsi="標楷體" w:hint="eastAsia"/>
          <w:color w:val="FF0000"/>
        </w:rPr>
        <w:t>委員會成立後</w:t>
      </w:r>
      <w:r>
        <w:rPr>
          <w:rFonts w:ascii="標楷體" w:eastAsia="標楷體" w:hAnsi="標楷體" w:hint="eastAsia"/>
        </w:rPr>
        <w:t>委員名單是否公</w:t>
      </w:r>
      <w:r>
        <w:rPr>
          <w:rFonts w:ascii="標楷體" w:eastAsia="標楷體" w:hAnsi="標楷體" w:hint="eastAsia"/>
          <w:color w:val="FF0000"/>
        </w:rPr>
        <w:t>開</w:t>
      </w:r>
      <w:r>
        <w:rPr>
          <w:rFonts w:ascii="標楷體" w:eastAsia="標楷體" w:hAnsi="標楷體" w:hint="eastAsia"/>
        </w:rPr>
        <w:t>：</w:t>
      </w:r>
    </w:p>
    <w:p w:rsidR="00B23549" w:rsidRDefault="002F327A">
      <w:pPr>
        <w:pStyle w:val="HTML"/>
        <w:tabs>
          <w:tab w:val="clear" w:pos="916"/>
          <w:tab w:val="clear" w:pos="2748"/>
          <w:tab w:val="left" w:pos="1506"/>
        </w:tabs>
        <w:snapToGrid w:val="0"/>
        <w:ind w:leftChars="591" w:left="1699" w:hangingChars="117" w:hanging="281"/>
        <w:rPr>
          <w:rFonts w:ascii="標楷體" w:eastAsia="標楷體" w:hAnsi="標楷體" w:cs="Times New Roman"/>
          <w:kern w:val="2"/>
          <w:shd w:val="pct10" w:color="auto" w:fill="FFFFFF"/>
        </w:rPr>
      </w:pPr>
      <w:r>
        <w:rPr>
          <w:rFonts w:ascii="標楷體" w:eastAsia="標楷體" w:hAnsi="標楷體" w:hint="eastAsia"/>
        </w:rPr>
        <w:t xml:space="preserve"> ■</w:t>
      </w:r>
      <w:r>
        <w:rPr>
          <w:rFonts w:ascii="標楷體" w:eastAsia="標楷體" w:hAnsi="標楷體" w:hint="eastAsia"/>
          <w:color w:val="FF0000"/>
        </w:rPr>
        <w:t>本案委員名單公開於主管機關指定之資訊網站(行政院公共工程委員會電子採購網：首頁/常用查詢/採購評選委員名單)。</w:t>
      </w:r>
    </w:p>
    <w:p w:rsidR="00B23549" w:rsidRDefault="002F327A">
      <w:pPr>
        <w:pStyle w:val="HTML"/>
        <w:tabs>
          <w:tab w:val="clear" w:pos="916"/>
          <w:tab w:val="clear" w:pos="2748"/>
          <w:tab w:val="left" w:pos="1506"/>
        </w:tabs>
        <w:snapToGrid w:val="0"/>
        <w:ind w:leftChars="591" w:left="1699" w:hangingChars="117" w:hanging="281"/>
        <w:rPr>
          <w:rFonts w:ascii="標楷體" w:eastAsia="標楷體" w:hAnsi="標楷體"/>
          <w:shd w:val="clear" w:color="auto" w:fill="00FFFF"/>
        </w:rPr>
      </w:pPr>
      <w:r>
        <w:rPr>
          <w:rFonts w:ascii="標楷體" w:eastAsia="標楷體" w:hAnsi="標楷體" w:hint="eastAsia"/>
        </w:rPr>
        <w:t xml:space="preserve"> □</w:t>
      </w:r>
      <w:r>
        <w:rPr>
          <w:rFonts w:ascii="標楷體" w:eastAsia="標楷體" w:hAnsi="標楷體" w:hint="eastAsia"/>
          <w:color w:val="FF0000"/>
        </w:rPr>
        <w:t>本案未於主管機關指定之資訊網站中公開本委員會委員名單，該名單於開始評選前應予以保密，廠商不得探詢委員名單。</w:t>
      </w:r>
    </w:p>
    <w:p w:rsidR="00B23549" w:rsidRDefault="002F327A">
      <w:pPr>
        <w:pStyle w:val="HTML"/>
        <w:tabs>
          <w:tab w:val="clear" w:pos="916"/>
          <w:tab w:val="clear" w:pos="1832"/>
          <w:tab w:val="clear" w:pos="2748"/>
          <w:tab w:val="clear" w:pos="3664"/>
          <w:tab w:val="clear" w:pos="4580"/>
          <w:tab w:val="clear" w:pos="5496"/>
          <w:tab w:val="left" w:pos="1004"/>
          <w:tab w:val="left" w:pos="1800"/>
        </w:tabs>
        <w:snapToGrid w:val="0"/>
        <w:ind w:leftChars="600" w:left="1620" w:hangingChars="75" w:hanging="180"/>
        <w:rPr>
          <w:rFonts w:ascii="標楷體" w:eastAsia="標楷體" w:hAnsi="標楷體"/>
          <w:shd w:val="clear" w:color="auto" w:fill="00FFFF"/>
        </w:rPr>
      </w:pPr>
      <w:r>
        <w:rPr>
          <w:rFonts w:ascii="標楷體" w:eastAsia="標楷體" w:hAnsi="標楷體" w:hint="eastAsia"/>
        </w:rPr>
        <w:t>2.本委員會或工作小組辦理評選，於其通知廠商說明、減價、協商、修改原報內容或重新報價時，應個別洽廠商為之，並予保密。</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shd w:val="clear" w:color="auto" w:fill="00FFFF"/>
        </w:rPr>
      </w:pPr>
      <w:r>
        <w:rPr>
          <w:rFonts w:ascii="標楷體" w:eastAsia="標楷體" w:hAnsi="標楷體" w:hint="eastAsia"/>
        </w:rPr>
        <w:t>本委員會委員應公正辦理評選。評選及出席會議，應親自為之，不得代理。</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本委員會辦理廠商評選，就各評選項目、受評廠商資料及工作小組初審意見，逐項討論後為之。</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cs="標楷體"/>
          <w:shd w:val="clear" w:color="auto" w:fill="00FFFF"/>
        </w:rPr>
      </w:pPr>
      <w:r>
        <w:rPr>
          <w:rFonts w:ascii="標楷體" w:eastAsia="標楷體" w:hAnsi="標楷體" w:cs="標楷體" w:hint="eastAsia"/>
        </w:rPr>
        <w:t>委員會審查、議決等評選作業，以記名方式秘密為之為原則。</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cs="標楷體"/>
          <w:shd w:val="clear" w:color="auto" w:fill="00FFFF"/>
        </w:rPr>
      </w:pPr>
      <w:r>
        <w:rPr>
          <w:rFonts w:ascii="標楷體" w:eastAsia="標楷體" w:hAnsi="標楷體" w:cs="標楷體" w:hint="eastAsia"/>
        </w:rPr>
        <w:t>委員辦理評選，應依招標文件之評選項目、子項及其配分或權重辦理，不得變更或補充。</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cs="標楷體"/>
          <w:shd w:val="clear" w:color="auto" w:fill="00FFFF"/>
        </w:rPr>
      </w:pPr>
      <w:r>
        <w:rPr>
          <w:rFonts w:ascii="標楷體" w:eastAsia="標楷體" w:hAnsi="標楷體" w:cs="標楷體" w:hint="eastAsia"/>
        </w:rPr>
        <w:t>會議表決時，主席得命本委員會以外之人員退席。但不包括應全程出席之承辦人員。</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評選委員依評選項目</w:t>
      </w:r>
      <w:r>
        <w:rPr>
          <w:rFonts w:ascii="標楷體" w:eastAsia="標楷體" w:hAnsi="標楷體"/>
        </w:rPr>
        <w:t>於評</w:t>
      </w:r>
      <w:r>
        <w:rPr>
          <w:rFonts w:ascii="標楷體" w:eastAsia="標楷體" w:hAnsi="標楷體" w:hint="eastAsia"/>
        </w:rPr>
        <w:t>比</w:t>
      </w:r>
      <w:r>
        <w:rPr>
          <w:rFonts w:ascii="標楷體" w:eastAsia="標楷體" w:hAnsi="標楷體"/>
        </w:rPr>
        <w:t>表</w:t>
      </w:r>
      <w:r>
        <w:rPr>
          <w:rFonts w:ascii="標楷體" w:eastAsia="標楷體" w:hAnsi="標楷體" w:hint="eastAsia"/>
        </w:rPr>
        <w:t>(如附表1)</w:t>
      </w:r>
      <w:r>
        <w:rPr>
          <w:rFonts w:ascii="標楷體" w:eastAsia="標楷體" w:hAnsi="標楷體"/>
        </w:rPr>
        <w:t>逐項載明各受評廠商之評分</w:t>
      </w:r>
      <w:r>
        <w:rPr>
          <w:rFonts w:ascii="標楷體" w:eastAsia="標楷體" w:hAnsi="標楷體" w:hint="eastAsia"/>
        </w:rPr>
        <w:t>及</w:t>
      </w:r>
      <w:r>
        <w:rPr>
          <w:rFonts w:ascii="標楷體" w:eastAsia="標楷體" w:hAnsi="標楷體"/>
        </w:rPr>
        <w:t>序位，並簽名或蓋章</w:t>
      </w:r>
      <w:r>
        <w:rPr>
          <w:rFonts w:ascii="標楷體" w:eastAsia="標楷體" w:hAnsi="標楷體" w:cs="標楷體" w:hint="eastAsia"/>
        </w:rPr>
        <w:t>後彌封</w:t>
      </w:r>
      <w:r>
        <w:rPr>
          <w:rFonts w:ascii="標楷體" w:eastAsia="標楷體" w:hAnsi="標楷體"/>
        </w:rPr>
        <w:t>。</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rPr>
        <w:t>評選委員辦理序位評比，應就各評選項目分別評分後予以加總，並依加總分數高低轉換為序位</w:t>
      </w:r>
      <w:r>
        <w:rPr>
          <w:rFonts w:ascii="標楷體" w:eastAsia="標楷體" w:hAnsi="標楷體" w:hint="eastAsia"/>
          <w:color w:val="FF0000"/>
        </w:rPr>
        <w:t>，如有不同廠商之加總分數相同致予相同序位者(例如第2名</w:t>
      </w:r>
      <w:r>
        <w:rPr>
          <w:rFonts w:ascii="標楷體" w:eastAsia="標楷體" w:hAnsi="標楷體" w:hint="eastAsia"/>
          <w:color w:val="FF0000"/>
        </w:rPr>
        <w:lastRenderedPageBreak/>
        <w:t>有2家)，其接續之其他廠商序位以</w:t>
      </w:r>
      <w:r>
        <w:rPr>
          <w:rFonts w:ascii="標楷體" w:eastAsia="標楷體" w:hAnsi="標楷體" w:hint="eastAsia"/>
        </w:rPr>
        <w:t>■</w:t>
      </w:r>
      <w:r>
        <w:rPr>
          <w:rFonts w:ascii="標楷體" w:eastAsia="標楷體" w:hAnsi="標楷體" w:hint="eastAsia"/>
          <w:color w:val="FF0000"/>
        </w:rPr>
        <w:t>1、2、2、3、4、…或□1、2、2、4、5、…方式表示</w:t>
      </w:r>
      <w:r>
        <w:rPr>
          <w:rFonts w:ascii="標楷體" w:eastAsia="標楷體" w:hAnsi="標楷體"/>
        </w:rPr>
        <w:t>。</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rPr>
        <w:t>前項評選委員各評選項目之分項評分加總轉換為序位後，彙整合計各廠商之序位，合計值最低者為序位第一。</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各評選委員完成評定序位後，由本機關工作小組統計總序位，並由本委員會監督複核。</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評比總表加總計算各受評廠商之序位和，以該表累計序位最低者，為序位第一，經出席評選委員評分平均達合格分數【 80 】分以上，且經【</w:t>
      </w:r>
      <w:r>
        <w:rPr>
          <w:rFonts w:ascii="標楷體" w:eastAsia="標楷體" w:hAnsi="標楷體" w:hint="eastAsia"/>
          <w:u w:val="single"/>
        </w:rPr>
        <w:t>本委員會過半數</w:t>
      </w:r>
      <w:r>
        <w:rPr>
          <w:rFonts w:ascii="標楷體" w:eastAsia="標楷體" w:hAnsi="標楷體" w:hint="eastAsia"/>
        </w:rPr>
        <w:t>】之決定者為最有利標，受評廠商平均分數未達合格分數【 80 】分者，不得作為協商對象或最有利標或決標對象。若所有廠商平均總評分均未達合格分數【 80 】分時，則最有利標從缺並廢標。（平均分數計算至小數點以下二位數，小數以下第三位四捨五入）</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若有2家以上受評廠商評比總表之累計序位最低且相同時，依投標須知第63點第7款擇定方式決定最有利標。</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若受評廠商僅有1家時，由出席評選委員依評選項目配分分別評分，出席評選委員評分平均達第12款合格分數以上，並經【</w:t>
      </w:r>
      <w:r>
        <w:rPr>
          <w:rFonts w:ascii="標楷體" w:eastAsia="標楷體" w:hAnsi="標楷體" w:hint="eastAsia"/>
          <w:u w:val="single"/>
        </w:rPr>
        <w:t>本委員會過半數】</w:t>
      </w:r>
      <w:r>
        <w:rPr>
          <w:rFonts w:ascii="標楷體" w:eastAsia="標楷體" w:hAnsi="標楷體" w:hint="eastAsia"/>
        </w:rPr>
        <w:t>之決定者為最有利標。</w:t>
      </w:r>
    </w:p>
    <w:p w:rsidR="00B23549" w:rsidRDefault="002F327A">
      <w:pPr>
        <w:pStyle w:val="HTML"/>
        <w:numPr>
          <w:ilvl w:val="1"/>
          <w:numId w:val="12"/>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經本委員會討論及【</w:t>
      </w:r>
      <w:r>
        <w:rPr>
          <w:rFonts w:ascii="標楷體" w:eastAsia="標楷體" w:hAnsi="標楷體" w:hint="eastAsia"/>
          <w:u w:val="single"/>
        </w:rPr>
        <w:t>本委員會過半數】</w:t>
      </w:r>
      <w:r>
        <w:rPr>
          <w:rFonts w:ascii="標楷體" w:eastAsia="標楷體" w:hAnsi="標楷體" w:hint="eastAsia"/>
        </w:rPr>
        <w:t>決議無最有利標，不採協商措施者，於評選結果簽報機關首長或其授權人員核定後，辦理廢標；採行協商措施者，</w:t>
      </w:r>
      <w:r>
        <w:rPr>
          <w:rFonts w:ascii="標楷體" w:eastAsia="標楷體" w:hAnsi="標楷體" w:hint="eastAsia"/>
          <w:bCs/>
        </w:rPr>
        <w:t>依</w:t>
      </w:r>
      <w:r>
        <w:rPr>
          <w:rFonts w:ascii="標楷體" w:eastAsia="標楷體" w:hAnsi="標楷體" w:hint="eastAsia"/>
        </w:rPr>
        <w:t>投標須知第54點</w:t>
      </w:r>
      <w:r>
        <w:rPr>
          <w:rFonts w:ascii="標楷體" w:eastAsia="標楷體" w:hAnsi="標楷體" w:hint="eastAsia"/>
          <w:bCs/>
        </w:rPr>
        <w:t>規定辦理，</w:t>
      </w:r>
      <w:r>
        <w:rPr>
          <w:rFonts w:ascii="標楷體" w:eastAsia="標楷體" w:hAnsi="標楷體" w:hint="eastAsia"/>
        </w:rPr>
        <w:t>評選結果仍無法評定最有利標時，亦同</w:t>
      </w:r>
    </w:p>
    <w:p w:rsidR="00B23549" w:rsidRDefault="002F327A">
      <w:pPr>
        <w:numPr>
          <w:ilvl w:val="0"/>
          <w:numId w:val="4"/>
        </w:numPr>
        <w:tabs>
          <w:tab w:val="clear" w:pos="1440"/>
          <w:tab w:val="left" w:pos="1004"/>
        </w:tabs>
        <w:snapToGrid w:val="0"/>
        <w:ind w:left="1004" w:hanging="502"/>
        <w:jc w:val="both"/>
        <w:rPr>
          <w:rFonts w:ascii="標楷體" w:hAnsi="標楷體" w:cs="細明體"/>
          <w:kern w:val="0"/>
        </w:rPr>
      </w:pPr>
      <w:r>
        <w:rPr>
          <w:rFonts w:ascii="標楷體" w:hAnsi="標楷體" w:cs="細明體" w:hint="eastAsia"/>
          <w:kern w:val="0"/>
        </w:rPr>
        <w:t>評選結果：</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工作小組</w:t>
      </w:r>
      <w:r>
        <w:rPr>
          <w:rFonts w:ascii="標楷體" w:eastAsia="標楷體" w:hAnsi="標楷體"/>
        </w:rPr>
        <w:t>於委員評選後，</w:t>
      </w:r>
      <w:r>
        <w:rPr>
          <w:rFonts w:ascii="標楷體" w:eastAsia="標楷體" w:hAnsi="標楷體" w:hint="eastAsia"/>
        </w:rPr>
        <w:t>將評選結果</w:t>
      </w:r>
      <w:r>
        <w:rPr>
          <w:rFonts w:ascii="標楷體" w:eastAsia="標楷體" w:hAnsi="標楷體"/>
        </w:rPr>
        <w:t>彙整製作</w:t>
      </w:r>
      <w:r>
        <w:rPr>
          <w:rFonts w:ascii="標楷體" w:eastAsia="標楷體" w:hAnsi="標楷體" w:hint="eastAsia"/>
        </w:rPr>
        <w:t>評比</w:t>
      </w:r>
      <w:r>
        <w:rPr>
          <w:rFonts w:ascii="標楷體" w:eastAsia="標楷體" w:hAnsi="標楷體"/>
        </w:rPr>
        <w:t>總表</w:t>
      </w:r>
      <w:r>
        <w:rPr>
          <w:rFonts w:ascii="標楷體" w:eastAsia="標楷體" w:hAnsi="標楷體" w:hint="eastAsia"/>
        </w:rPr>
        <w:t>(如附表2)</w:t>
      </w:r>
      <w:r>
        <w:rPr>
          <w:rFonts w:ascii="標楷體" w:eastAsia="標楷體" w:hAnsi="標楷體"/>
        </w:rPr>
        <w:t>，由參與評選全體委員簽名或蓋章。其内容有修正者，應經修正人員簽名或蓋章。</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rPr>
        <w:t>各受評廠商之序位評比結果，其所標示之各出席委員姓名，得以代號代之。</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本委員會或個別委員評選結果與工作小組初審意見有異，或不同評選委員之評選結果有明顯差異者，應提交本委員會召集人處理，並列入會議紀錄。</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rPr>
        <w:t>不同委員之評選結果有明顯差異時，召集人應提交本委員會議決或依本委員會決議辦理複評。複評結果仍有明顯差異時，</w:t>
      </w:r>
      <w:r>
        <w:rPr>
          <w:rFonts w:ascii="標楷體" w:eastAsia="標楷體" w:hAnsi="標楷體" w:hint="eastAsia"/>
        </w:rPr>
        <w:t>由本委員會決議之。</w:t>
      </w:r>
      <w:r>
        <w:rPr>
          <w:rFonts w:ascii="標楷體" w:eastAsia="標楷體" w:hAnsi="標楷體"/>
        </w:rPr>
        <w:t>本委員會</w:t>
      </w:r>
      <w:r>
        <w:rPr>
          <w:rFonts w:ascii="標楷體" w:eastAsia="標楷體" w:hAnsi="標楷體" w:hint="eastAsia"/>
        </w:rPr>
        <w:t>依上開規定，</w:t>
      </w:r>
      <w:r>
        <w:rPr>
          <w:rFonts w:ascii="標楷體" w:eastAsia="標楷體" w:hAnsi="標楷體"/>
        </w:rPr>
        <w:t>得作成下列議決或決議</w:t>
      </w:r>
      <w:r>
        <w:rPr>
          <w:rFonts w:ascii="標楷體" w:eastAsia="標楷體" w:hAnsi="標楷體" w:hint="eastAsia"/>
        </w:rPr>
        <w:t>：</w:t>
      </w:r>
    </w:p>
    <w:p w:rsidR="00B23549" w:rsidRDefault="002F327A">
      <w:pPr>
        <w:pStyle w:val="HTML"/>
        <w:numPr>
          <w:ilvl w:val="0"/>
          <w:numId w:val="14"/>
        </w:numPr>
        <w:tabs>
          <w:tab w:val="clear" w:pos="840"/>
          <w:tab w:val="clear" w:pos="916"/>
          <w:tab w:val="clear" w:pos="1832"/>
          <w:tab w:val="clear" w:pos="2748"/>
          <w:tab w:val="left" w:pos="1004"/>
          <w:tab w:val="left" w:pos="1757"/>
        </w:tabs>
        <w:snapToGrid w:val="0"/>
        <w:ind w:left="1757" w:hanging="251"/>
        <w:rPr>
          <w:rFonts w:ascii="標楷體" w:eastAsia="標楷體" w:hAnsi="標楷體"/>
        </w:rPr>
      </w:pPr>
      <w:r>
        <w:rPr>
          <w:rFonts w:ascii="標楷體" w:eastAsia="標楷體" w:hAnsi="標楷體"/>
        </w:rPr>
        <w:t>維持原評選結果。</w:t>
      </w:r>
    </w:p>
    <w:p w:rsidR="00B23549" w:rsidRDefault="002F327A">
      <w:pPr>
        <w:pStyle w:val="HTML"/>
        <w:numPr>
          <w:ilvl w:val="0"/>
          <w:numId w:val="14"/>
        </w:numPr>
        <w:tabs>
          <w:tab w:val="clear" w:pos="840"/>
          <w:tab w:val="clear" w:pos="916"/>
          <w:tab w:val="clear" w:pos="1832"/>
          <w:tab w:val="clear" w:pos="2748"/>
          <w:tab w:val="left" w:pos="1004"/>
          <w:tab w:val="left" w:pos="1757"/>
        </w:tabs>
        <w:snapToGrid w:val="0"/>
        <w:ind w:left="1757" w:hanging="251"/>
        <w:rPr>
          <w:rFonts w:ascii="標楷體" w:eastAsia="標楷體" w:hAnsi="標楷體"/>
        </w:rPr>
      </w:pPr>
      <w:r>
        <w:rPr>
          <w:rFonts w:ascii="標楷體" w:eastAsia="標楷體" w:hAnsi="標楷體"/>
        </w:rPr>
        <w:t>除去個別委員評選結果，重計評選結果。</w:t>
      </w:r>
    </w:p>
    <w:p w:rsidR="00B23549" w:rsidRDefault="002F327A">
      <w:pPr>
        <w:pStyle w:val="HTML"/>
        <w:numPr>
          <w:ilvl w:val="0"/>
          <w:numId w:val="14"/>
        </w:numPr>
        <w:tabs>
          <w:tab w:val="clear" w:pos="840"/>
          <w:tab w:val="clear" w:pos="916"/>
          <w:tab w:val="clear" w:pos="1832"/>
          <w:tab w:val="clear" w:pos="2748"/>
          <w:tab w:val="left" w:pos="1004"/>
          <w:tab w:val="left" w:pos="1757"/>
        </w:tabs>
        <w:snapToGrid w:val="0"/>
        <w:ind w:left="1757" w:hanging="251"/>
        <w:rPr>
          <w:rFonts w:ascii="標楷體" w:eastAsia="標楷體" w:hAnsi="標楷體"/>
        </w:rPr>
      </w:pPr>
      <w:r>
        <w:rPr>
          <w:rFonts w:ascii="標楷體" w:eastAsia="標楷體" w:hAnsi="標楷體"/>
        </w:rPr>
        <w:t>廢棄原評選結果，重行提出評選結果。</w:t>
      </w:r>
    </w:p>
    <w:p w:rsidR="00B23549" w:rsidRDefault="002F327A">
      <w:pPr>
        <w:pStyle w:val="HTML"/>
        <w:numPr>
          <w:ilvl w:val="0"/>
          <w:numId w:val="14"/>
        </w:numPr>
        <w:tabs>
          <w:tab w:val="clear" w:pos="840"/>
          <w:tab w:val="clear" w:pos="916"/>
          <w:tab w:val="clear" w:pos="1832"/>
          <w:tab w:val="clear" w:pos="2748"/>
          <w:tab w:val="left" w:pos="1004"/>
          <w:tab w:val="left" w:pos="1757"/>
        </w:tabs>
        <w:snapToGrid w:val="0"/>
        <w:ind w:left="1757" w:hanging="251"/>
        <w:rPr>
          <w:rFonts w:ascii="標楷體" w:eastAsia="標楷體" w:hAnsi="標楷體"/>
        </w:rPr>
      </w:pPr>
      <w:r>
        <w:rPr>
          <w:rFonts w:ascii="標楷體" w:eastAsia="標楷體" w:hAnsi="標楷體"/>
        </w:rPr>
        <w:t>無法評定最有利標。</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評選</w:t>
      </w:r>
      <w:r>
        <w:rPr>
          <w:rFonts w:ascii="標楷體" w:eastAsia="標楷體" w:hAnsi="標楷體"/>
        </w:rPr>
        <w:t>委員對於會議之決議有不同意見者，得要求將不同意見載入會議紀錄或將意見書附於會議紀錄，以備查考</w:t>
      </w:r>
      <w:r>
        <w:rPr>
          <w:rFonts w:ascii="標楷體" w:eastAsia="標楷體" w:hAnsi="標楷體" w:hint="eastAsia"/>
        </w:rPr>
        <w:t>，本委員會不得拒絕。</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機關對於本委員會違反本(政府採購)法之決議，不得接受；發現評選作業有足以影響採購公正之違法或不當行為者，依本法</w:t>
      </w:r>
      <w:r>
        <w:rPr>
          <w:rFonts w:ascii="標楷體" w:eastAsia="標楷體" w:hAnsi="標楷體"/>
        </w:rPr>
        <w:t>第</w:t>
      </w:r>
      <w:r>
        <w:rPr>
          <w:rFonts w:ascii="標楷體" w:eastAsia="標楷體" w:hAnsi="標楷體" w:hint="eastAsia"/>
        </w:rPr>
        <w:t>48</w:t>
      </w:r>
      <w:r>
        <w:rPr>
          <w:rFonts w:ascii="標楷體" w:eastAsia="標楷體" w:hAnsi="標楷體"/>
        </w:rPr>
        <w:t>條第</w:t>
      </w:r>
      <w:r>
        <w:rPr>
          <w:rFonts w:ascii="標楷體" w:eastAsia="標楷體" w:hAnsi="標楷體" w:hint="eastAsia"/>
        </w:rPr>
        <w:t>1</w:t>
      </w:r>
      <w:r>
        <w:rPr>
          <w:rFonts w:ascii="標楷體" w:eastAsia="標楷體" w:hAnsi="標楷體"/>
        </w:rPr>
        <w:t>項</w:t>
      </w:r>
      <w:r>
        <w:rPr>
          <w:rFonts w:ascii="標楷體" w:eastAsia="標楷體" w:hAnsi="標楷體" w:hint="eastAsia"/>
        </w:rPr>
        <w:t>第2款規定不予開標決標</w:t>
      </w:r>
      <w:r>
        <w:rPr>
          <w:rFonts w:ascii="標楷體" w:eastAsia="標楷體" w:hAnsi="標楷體"/>
        </w:rPr>
        <w:t>。</w:t>
      </w:r>
      <w:r>
        <w:rPr>
          <w:rFonts w:ascii="標楷體" w:eastAsia="標楷體" w:hAnsi="標楷體" w:hint="eastAsia"/>
        </w:rPr>
        <w:t>其涉及違法失職行為者，應依相關規定懲處。</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評選結果應簽報本機關首長或其授權人員核定。</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rPr>
        <w:t>將評選結果通知廠商，</w:t>
      </w:r>
      <w:r>
        <w:rPr>
          <w:rFonts w:ascii="標楷體" w:eastAsia="標楷體" w:hAnsi="標楷體"/>
        </w:rPr>
        <w:t>對不合格或未獲選之廠商，並應敘明其原因。</w:t>
      </w:r>
    </w:p>
    <w:p w:rsidR="00B23549" w:rsidRDefault="002F327A">
      <w:pPr>
        <w:pStyle w:val="HTML"/>
        <w:numPr>
          <w:ilvl w:val="1"/>
          <w:numId w:val="13"/>
        </w:numPr>
        <w:tabs>
          <w:tab w:val="clear" w:pos="916"/>
          <w:tab w:val="clear" w:pos="2748"/>
          <w:tab w:val="left" w:pos="1506"/>
        </w:tabs>
        <w:snapToGrid w:val="0"/>
        <w:ind w:left="1506" w:hanging="502"/>
        <w:rPr>
          <w:rFonts w:ascii="標楷體" w:eastAsia="標楷體" w:hAnsi="標楷體"/>
        </w:rPr>
      </w:pPr>
      <w:r>
        <w:rPr>
          <w:rFonts w:ascii="標楷體" w:eastAsia="標楷體" w:hAnsi="標楷體" w:hint="eastAsia"/>
          <w:color w:val="FF0000"/>
        </w:rPr>
        <w:t>□達一定分數或序位之未得標廠商，發給一定金額之獎勵金</w:t>
      </w:r>
      <w:r>
        <w:rPr>
          <w:rFonts w:ascii="標楷體" w:eastAsia="標楷體" w:hAnsi="標楷體" w:hint="eastAsia"/>
          <w:color w:val="FF0000"/>
          <w:shd w:val="pct10" w:color="auto" w:fill="FFFFFF"/>
        </w:rPr>
        <w:t>(由機關敘明一定分數或序位及其相對應之獎勵金)</w:t>
      </w:r>
      <w:r>
        <w:rPr>
          <w:rFonts w:ascii="標楷體" w:eastAsia="標楷體" w:hAnsi="標楷體"/>
          <w:color w:val="FF0000"/>
          <w:shd w:val="pct10" w:color="auto" w:fill="FFFFFF"/>
        </w:rPr>
        <w:t>(</w:t>
      </w:r>
      <w:r>
        <w:rPr>
          <w:rFonts w:ascii="標楷體" w:eastAsia="標楷體" w:hAnsi="標楷體" w:hint="eastAsia"/>
          <w:color w:val="FF0000"/>
          <w:shd w:val="pct10" w:color="auto" w:fill="FFFFFF"/>
        </w:rPr>
        <w:t>適用於涉及委託技術服務之服務項目者)</w:t>
      </w:r>
      <w:r>
        <w:rPr>
          <w:rFonts w:ascii="標楷體" w:eastAsia="標楷體" w:hAnsi="標楷體"/>
          <w:color w:val="FF0000"/>
        </w:rPr>
        <w:br/>
      </w:r>
      <w:r>
        <w:rPr>
          <w:rFonts w:ascii="標楷體" w:eastAsia="標楷體" w:hAnsi="標楷體" w:hint="eastAsia"/>
          <w:color w:val="FF0000"/>
        </w:rPr>
        <w:t>分數(序位)：    ；獎勵金：新臺幣    元</w:t>
      </w:r>
      <w:r>
        <w:rPr>
          <w:rFonts w:ascii="標楷體" w:eastAsia="標楷體" w:hAnsi="標楷體"/>
          <w:color w:val="FF0000"/>
        </w:rPr>
        <w:br/>
      </w:r>
      <w:r>
        <w:rPr>
          <w:rFonts w:ascii="標楷體" w:eastAsia="標楷體" w:hAnsi="標楷體" w:hint="eastAsia"/>
          <w:color w:val="FF0000"/>
        </w:rPr>
        <w:t>分數(序位)：    ；獎勵金：新臺幣    元</w:t>
      </w:r>
      <w:r>
        <w:rPr>
          <w:rFonts w:ascii="標楷體" w:eastAsia="標楷體" w:hAnsi="標楷體"/>
          <w:color w:val="FF0000"/>
        </w:rPr>
        <w:br/>
      </w:r>
      <w:r>
        <w:rPr>
          <w:rFonts w:ascii="標楷體" w:eastAsia="標楷體" w:hAnsi="標楷體" w:hint="eastAsia"/>
          <w:color w:val="FF0000"/>
        </w:rPr>
        <w:t>分數(序位)：    ；獎勵金：新臺幣    元</w:t>
      </w:r>
    </w:p>
    <w:p w:rsidR="00B23549" w:rsidRDefault="002F327A">
      <w:r>
        <w:rPr>
          <w:rFonts w:hint="eastAsia"/>
        </w:rPr>
        <w:t>第肆節、決標原則與作業</w:t>
      </w:r>
    </w:p>
    <w:p w:rsidR="00B23549" w:rsidRDefault="002F327A">
      <w:pPr>
        <w:numPr>
          <w:ilvl w:val="0"/>
          <w:numId w:val="4"/>
        </w:numPr>
        <w:tabs>
          <w:tab w:val="clear" w:pos="1440"/>
          <w:tab w:val="left" w:pos="1004"/>
        </w:tabs>
        <w:snapToGrid w:val="0"/>
        <w:ind w:left="1004" w:hanging="502"/>
        <w:jc w:val="both"/>
        <w:rPr>
          <w:rFonts w:ascii="標楷體" w:hAnsi="標楷體" w:cs="DFKaiShu-SB-Estd-BF"/>
          <w:kern w:val="0"/>
        </w:rPr>
      </w:pPr>
      <w:r>
        <w:rPr>
          <w:rFonts w:ascii="標楷體" w:hAnsi="標楷體" w:hint="eastAsia"/>
        </w:rPr>
        <w:t>決標原則依政府採購法第52條第1項第3款規定之以合於招標文件規定之最有利</w:t>
      </w:r>
      <w:r>
        <w:rPr>
          <w:rFonts w:ascii="標楷體" w:hAnsi="標楷體" w:hint="eastAsia"/>
        </w:rPr>
        <w:lastRenderedPageBreak/>
        <w:t>標為得標廠商，並依「最有利標評選辦法」第22條規定以不訂底價為原則。</w:t>
      </w:r>
    </w:p>
    <w:p w:rsidR="00B23549" w:rsidRDefault="002F327A">
      <w:pPr>
        <w:numPr>
          <w:ilvl w:val="0"/>
          <w:numId w:val="4"/>
        </w:numPr>
        <w:tabs>
          <w:tab w:val="clear" w:pos="1440"/>
          <w:tab w:val="left" w:pos="1004"/>
        </w:tabs>
        <w:snapToGrid w:val="0"/>
        <w:ind w:left="1004" w:hanging="502"/>
        <w:jc w:val="both"/>
        <w:rPr>
          <w:rFonts w:ascii="標楷體" w:hAnsi="標楷體" w:cs="DFKaiShu-SB-Estd-BF"/>
          <w:kern w:val="0"/>
        </w:rPr>
      </w:pPr>
      <w:r>
        <w:rPr>
          <w:rFonts w:ascii="標楷體" w:hAnsi="標楷體" w:hint="eastAsia"/>
        </w:rPr>
        <w:t>廠商投標書報價不得超過本機關公告之預算金額，否則為不合格標。</w:t>
      </w:r>
    </w:p>
    <w:p w:rsidR="00B23549" w:rsidRDefault="002F327A">
      <w:pPr>
        <w:numPr>
          <w:ilvl w:val="0"/>
          <w:numId w:val="4"/>
        </w:numPr>
        <w:tabs>
          <w:tab w:val="clear" w:pos="1440"/>
          <w:tab w:val="left" w:pos="1004"/>
        </w:tabs>
        <w:snapToGrid w:val="0"/>
        <w:ind w:left="1004" w:hanging="502"/>
        <w:jc w:val="both"/>
        <w:rPr>
          <w:rFonts w:ascii="標楷體" w:hAnsi="標楷體" w:cs="DFKaiShu-SB-Estd-BF"/>
          <w:kern w:val="0"/>
        </w:rPr>
      </w:pPr>
      <w:r>
        <w:rPr>
          <w:rFonts w:ascii="標楷體" w:hAnsi="標楷體" w:cs="DFKaiShu-SB-Estd-BF" w:hint="eastAsia"/>
          <w:kern w:val="0"/>
        </w:rPr>
        <w:t>經評選</w:t>
      </w:r>
      <w:r>
        <w:rPr>
          <w:rFonts w:ascii="標楷體" w:hAnsi="標楷體" w:hint="eastAsia"/>
        </w:rPr>
        <w:t>委員</w:t>
      </w:r>
      <w:r>
        <w:rPr>
          <w:rFonts w:ascii="標楷體" w:hAnsi="標楷體" w:cs="DFKaiShu-SB-Estd-BF" w:hint="eastAsia"/>
          <w:kern w:val="0"/>
        </w:rPr>
        <w:t>依第參節程序完成評選作業後，本機關隨即依評選結果召集監辦及相關單位人員確認並製作決標紀錄，宣布最有利標廠商為得標廠商，無最有利標廠商則宣布廢標，製作廢標紀錄。</w:t>
      </w:r>
    </w:p>
    <w:p w:rsidR="00B23549" w:rsidRDefault="002F327A">
      <w:r>
        <w:rPr>
          <w:rFonts w:hint="eastAsia"/>
        </w:rPr>
        <w:t>第伍節、其他注意事項</w:t>
      </w:r>
    </w:p>
    <w:p w:rsidR="00B23549" w:rsidRDefault="002F327A">
      <w:pPr>
        <w:numPr>
          <w:ilvl w:val="0"/>
          <w:numId w:val="4"/>
        </w:numPr>
        <w:tabs>
          <w:tab w:val="clear" w:pos="1440"/>
          <w:tab w:val="left" w:pos="1255"/>
        </w:tabs>
        <w:snapToGrid w:val="0"/>
        <w:ind w:left="1004" w:hanging="502"/>
        <w:jc w:val="both"/>
        <w:rPr>
          <w:rFonts w:ascii="標楷體" w:hAnsi="標楷體"/>
        </w:rPr>
      </w:pPr>
      <w:r>
        <w:rPr>
          <w:rFonts w:ascii="標楷體" w:hAnsi="標楷體" w:hint="eastAsia"/>
        </w:rPr>
        <w:t>本評選須知及得標廠商之服務建議書</w:t>
      </w:r>
      <w:r>
        <w:rPr>
          <w:rFonts w:ascii="標楷體" w:hAnsi="標楷體" w:cs="標楷體" w:hint="eastAsia"/>
          <w:kern w:val="0"/>
        </w:rPr>
        <w:t>（含委託服務計畫書）均</w:t>
      </w:r>
      <w:r>
        <w:rPr>
          <w:rFonts w:ascii="標楷體" w:hAnsi="標楷體" w:hint="eastAsia"/>
        </w:rPr>
        <w:t>為契約之一部分。</w:t>
      </w:r>
    </w:p>
    <w:p w:rsidR="00B23549" w:rsidRDefault="002F327A">
      <w:pPr>
        <w:numPr>
          <w:ilvl w:val="0"/>
          <w:numId w:val="4"/>
        </w:numPr>
        <w:tabs>
          <w:tab w:val="clear" w:pos="1440"/>
          <w:tab w:val="left" w:pos="1255"/>
        </w:tabs>
        <w:snapToGrid w:val="0"/>
        <w:ind w:left="1004" w:hanging="502"/>
        <w:jc w:val="both"/>
        <w:rPr>
          <w:rFonts w:ascii="標楷體" w:hAnsi="標楷體" w:cs="標楷體"/>
          <w:kern w:val="0"/>
        </w:rPr>
      </w:pPr>
      <w:r>
        <w:rPr>
          <w:rFonts w:ascii="標楷體" w:hAnsi="標楷體" w:cs="標楷體" w:hint="eastAsia"/>
          <w:kern w:val="0"/>
        </w:rPr>
        <w:t>投標廠商之服務建議書及相關投標文件涉及著作權部分為廠商所有，</w:t>
      </w:r>
      <w:r>
        <w:rPr>
          <w:rFonts w:ascii="標楷體" w:hAnsi="標楷體" w:cs="標楷體" w:hint="eastAsia"/>
          <w:color w:val="FF0000"/>
          <w:kern w:val="0"/>
        </w:rPr>
        <w:t>得標廠商之服務建議書及相關投標文件，本機關擁有使用權及修改權；未得標廠商之投標文件，廠商要求發還者，機關得保留其中一份，其餘發還，或僅保留影本。涉及未得標廠商投標文件著作財產權，機關如欲使用該等文件，應經該廠商同意無償授權機關使用，或由機關給予報酬後，於彼此約定範圍內使用</w:t>
      </w:r>
      <w:r>
        <w:rPr>
          <w:rFonts w:ascii="標楷體" w:hAnsi="標楷體" w:cs="標楷體" w:hint="eastAsia"/>
          <w:kern w:val="0"/>
        </w:rPr>
        <w:t>。</w:t>
      </w:r>
    </w:p>
    <w:p w:rsidR="00B23549" w:rsidRDefault="002F327A">
      <w:pPr>
        <w:numPr>
          <w:ilvl w:val="0"/>
          <w:numId w:val="4"/>
        </w:numPr>
        <w:tabs>
          <w:tab w:val="clear" w:pos="1440"/>
          <w:tab w:val="left" w:pos="1255"/>
        </w:tabs>
        <w:snapToGrid w:val="0"/>
        <w:ind w:left="1004" w:hanging="502"/>
        <w:jc w:val="both"/>
        <w:rPr>
          <w:rFonts w:ascii="標楷體" w:hAnsi="標楷體" w:cs="標楷體"/>
          <w:kern w:val="0"/>
        </w:rPr>
      </w:pPr>
      <w:r>
        <w:rPr>
          <w:rFonts w:ascii="標楷體" w:hAnsi="標楷體" w:cs="標楷體" w:hint="eastAsia"/>
          <w:kern w:val="0"/>
        </w:rPr>
        <w:t>投標廠商應保證投標文件內之所有文件、設計、技術等均未違法使用第三者之智慧財產權與專利權。若有侵害第三者之智慧財產權與專利權時，投標廠商應負擔所有之賠償費用及一切法律責任，與本機關無涉。</w:t>
      </w:r>
    </w:p>
    <w:p w:rsidR="00B23549" w:rsidRDefault="002F327A">
      <w:pPr>
        <w:numPr>
          <w:ilvl w:val="0"/>
          <w:numId w:val="4"/>
        </w:numPr>
        <w:tabs>
          <w:tab w:val="clear" w:pos="1440"/>
          <w:tab w:val="left" w:pos="1255"/>
        </w:tabs>
        <w:snapToGrid w:val="0"/>
        <w:ind w:left="1004" w:hanging="502"/>
        <w:jc w:val="both"/>
        <w:rPr>
          <w:rFonts w:ascii="標楷體" w:hAnsi="標楷體" w:cs="標楷體"/>
          <w:kern w:val="0"/>
        </w:rPr>
      </w:pPr>
      <w:r>
        <w:rPr>
          <w:rFonts w:ascii="標楷體" w:hAnsi="標楷體" w:cs="標楷體" w:hint="eastAsia"/>
          <w:kern w:val="0"/>
        </w:rPr>
        <w:t>任何侵犯他人智慧財產權之情事概由投標廠商負一切法律責任，與本機關無涉。</w:t>
      </w:r>
    </w:p>
    <w:p w:rsidR="00B23549" w:rsidRDefault="002F327A">
      <w:pPr>
        <w:numPr>
          <w:ilvl w:val="0"/>
          <w:numId w:val="4"/>
        </w:numPr>
        <w:tabs>
          <w:tab w:val="clear" w:pos="1440"/>
          <w:tab w:val="left" w:pos="1255"/>
        </w:tabs>
        <w:snapToGrid w:val="0"/>
        <w:ind w:left="1004" w:hanging="502"/>
        <w:jc w:val="both"/>
        <w:rPr>
          <w:rFonts w:ascii="標楷體" w:hAnsi="標楷體" w:cs="標楷體"/>
          <w:kern w:val="0"/>
        </w:rPr>
      </w:pPr>
      <w:r>
        <w:rPr>
          <w:rFonts w:ascii="標楷體" w:hAnsi="標楷體" w:cs="標楷體" w:hint="eastAsia"/>
          <w:kern w:val="0"/>
        </w:rPr>
        <w:t>投標廠商對所列參與本案之專任負責人及其重要工作人員之學經歷及專長或專業機構或事務所之工作實績與資料說明，應保證屬實，若於評選過程中經舉證與事實不符，且由本委員會認定後，取消參與評選之資格；若於簽定契約後，經舉證與事實不符，則依政府採購法第50條規定辦理。</w:t>
      </w:r>
    </w:p>
    <w:p w:rsidR="00B23549" w:rsidRDefault="002F327A">
      <w:pPr>
        <w:numPr>
          <w:ilvl w:val="0"/>
          <w:numId w:val="4"/>
        </w:numPr>
        <w:tabs>
          <w:tab w:val="clear" w:pos="1440"/>
          <w:tab w:val="left" w:pos="1255"/>
        </w:tabs>
        <w:snapToGrid w:val="0"/>
        <w:ind w:left="1004" w:hanging="502"/>
        <w:jc w:val="both"/>
        <w:rPr>
          <w:rFonts w:ascii="標楷體" w:hAnsi="標楷體"/>
        </w:rPr>
      </w:pPr>
      <w:r>
        <w:rPr>
          <w:rFonts w:ascii="標楷體" w:hAnsi="標楷體" w:cs="標楷體" w:hint="eastAsia"/>
          <w:kern w:val="0"/>
        </w:rPr>
        <w:t>本須知未盡事宜部分，應依招標文件及政府採購法及其子法、其他相關法令規定辦理</w:t>
      </w:r>
      <w:r>
        <w:rPr>
          <w:rFonts w:ascii="標楷體" w:hAnsi="標楷體" w:hint="eastAsia"/>
        </w:rPr>
        <w:t>。</w:t>
      </w:r>
    </w:p>
    <w:p w:rsidR="00B23549" w:rsidRDefault="00B23549">
      <w:pPr>
        <w:tabs>
          <w:tab w:val="left" w:pos="1440"/>
        </w:tabs>
        <w:snapToGrid w:val="0"/>
        <w:jc w:val="both"/>
      </w:pPr>
    </w:p>
    <w:p w:rsidR="00B23549" w:rsidRDefault="00B23549"/>
    <w:sectPr w:rsidR="00B23549">
      <w:pgSz w:w="11906" w:h="16838"/>
      <w:pgMar w:top="1276"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3EC" w:rsidRDefault="000E63EC" w:rsidP="00A33631">
      <w:r>
        <w:separator/>
      </w:r>
    </w:p>
  </w:endnote>
  <w:endnote w:type="continuationSeparator" w:id="0">
    <w:p w:rsidR="000E63EC" w:rsidRDefault="000E63EC" w:rsidP="00A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文新字海-粗楷">
    <w:altName w:val="MS Gothic"/>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文新字海-超明">
    <w:charset w:val="00"/>
    <w:family w:val="modern"/>
    <w:pitch w:val="fixed"/>
  </w:font>
  <w:font w:name="華康楷書體W5">
    <w:altName w:val="Arial Unicode MS"/>
    <w:charset w:val="88"/>
    <w:family w:val="modern"/>
    <w:pitch w:val="fixed"/>
    <w:sig w:usb0="80000001" w:usb1="28091800" w:usb2="00000016" w:usb3="00000000" w:csb0="00100000" w:csb1="00000000"/>
  </w:font>
  <w:font w:name="全真楷書">
    <w:altName w:val="MS Gothic"/>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big 5">
    <w:altName w:val="細明體"/>
    <w:panose1 w:val="00000000000000000000"/>
    <w:charset w:val="88"/>
    <w:family w:val="modern"/>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3EC" w:rsidRDefault="000E63EC" w:rsidP="00A33631">
      <w:r>
        <w:separator/>
      </w:r>
    </w:p>
  </w:footnote>
  <w:footnote w:type="continuationSeparator" w:id="0">
    <w:p w:rsidR="000E63EC" w:rsidRDefault="000E63EC" w:rsidP="00A3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49F3"/>
    <w:multiLevelType w:val="multilevel"/>
    <w:tmpl w:val="111749F3"/>
    <w:lvl w:ilvl="0">
      <w:start w:val="1"/>
      <w:numFmt w:val="decimal"/>
      <w:lvlText w:val="%1."/>
      <w:lvlJc w:val="left"/>
      <w:pPr>
        <w:ind w:left="1986" w:hanging="480"/>
      </w:pPr>
    </w:lvl>
    <w:lvl w:ilvl="1" w:tentative="1">
      <w:start w:val="1"/>
      <w:numFmt w:val="ideographTraditional"/>
      <w:lvlText w:val="%2、"/>
      <w:lvlJc w:val="left"/>
      <w:pPr>
        <w:ind w:left="2466" w:hanging="480"/>
      </w:pPr>
    </w:lvl>
    <w:lvl w:ilvl="2" w:tentative="1">
      <w:start w:val="1"/>
      <w:numFmt w:val="lowerRoman"/>
      <w:lvlText w:val="%3."/>
      <w:lvlJc w:val="right"/>
      <w:pPr>
        <w:ind w:left="2946" w:hanging="480"/>
      </w:pPr>
    </w:lvl>
    <w:lvl w:ilvl="3" w:tentative="1">
      <w:start w:val="1"/>
      <w:numFmt w:val="decimal"/>
      <w:lvlText w:val="%4."/>
      <w:lvlJc w:val="left"/>
      <w:pPr>
        <w:ind w:left="3426" w:hanging="480"/>
      </w:pPr>
    </w:lvl>
    <w:lvl w:ilvl="4" w:tentative="1">
      <w:start w:val="1"/>
      <w:numFmt w:val="ideographTraditional"/>
      <w:lvlText w:val="%5、"/>
      <w:lvlJc w:val="left"/>
      <w:pPr>
        <w:ind w:left="3906" w:hanging="480"/>
      </w:pPr>
    </w:lvl>
    <w:lvl w:ilvl="5" w:tentative="1">
      <w:start w:val="1"/>
      <w:numFmt w:val="lowerRoman"/>
      <w:lvlText w:val="%6."/>
      <w:lvlJc w:val="right"/>
      <w:pPr>
        <w:ind w:left="4386" w:hanging="480"/>
      </w:pPr>
    </w:lvl>
    <w:lvl w:ilvl="6" w:tentative="1">
      <w:start w:val="1"/>
      <w:numFmt w:val="decimal"/>
      <w:lvlText w:val="%7."/>
      <w:lvlJc w:val="left"/>
      <w:pPr>
        <w:ind w:left="4866" w:hanging="480"/>
      </w:pPr>
    </w:lvl>
    <w:lvl w:ilvl="7" w:tentative="1">
      <w:start w:val="1"/>
      <w:numFmt w:val="ideographTraditional"/>
      <w:lvlText w:val="%8、"/>
      <w:lvlJc w:val="left"/>
      <w:pPr>
        <w:ind w:left="5346" w:hanging="480"/>
      </w:pPr>
    </w:lvl>
    <w:lvl w:ilvl="8" w:tentative="1">
      <w:start w:val="1"/>
      <w:numFmt w:val="lowerRoman"/>
      <w:lvlText w:val="%9."/>
      <w:lvlJc w:val="right"/>
      <w:pPr>
        <w:ind w:left="5826" w:hanging="480"/>
      </w:pPr>
    </w:lvl>
  </w:abstractNum>
  <w:abstractNum w:abstractNumId="1" w15:restartNumberingAfterBreak="0">
    <w:nsid w:val="123F2DFF"/>
    <w:multiLevelType w:val="multilevel"/>
    <w:tmpl w:val="123F2DFF"/>
    <w:lvl w:ilvl="0" w:tentative="1">
      <w:start w:val="1"/>
      <w:numFmt w:val="taiwaneseCountingThousand"/>
      <w:pStyle w:val="a"/>
      <w:suff w:val="nothing"/>
      <w:lvlText w:val="%1、"/>
      <w:lvlJc w:val="left"/>
      <w:pPr>
        <w:ind w:left="947" w:hanging="635"/>
      </w:pPr>
      <w:rPr>
        <w:rFonts w:ascii="標楷體" w:eastAsia="標楷體" w:hint="eastAsia"/>
        <w:b w:val="0"/>
        <w:i w:val="0"/>
        <w:sz w:val="32"/>
      </w:rPr>
    </w:lvl>
    <w:lvl w:ilvl="1" w:tentative="1">
      <w:start w:val="1"/>
      <w:numFmt w:val="taiwaneseCountingThousand"/>
      <w:suff w:val="nothing"/>
      <w:lvlText w:val="(%2)"/>
      <w:lvlJc w:val="left"/>
      <w:pPr>
        <w:ind w:left="1378" w:hanging="527"/>
      </w:pPr>
      <w:rPr>
        <w:rFonts w:eastAsia="標楷體" w:hint="eastAsia"/>
        <w:b w:val="0"/>
        <w:i w:val="0"/>
        <w:sz w:val="32"/>
      </w:rPr>
    </w:lvl>
    <w:lvl w:ilvl="2" w:tentative="1">
      <w:start w:val="1"/>
      <w:numFmt w:val="decimalFullWidth"/>
      <w:suff w:val="nothing"/>
      <w:lvlText w:val="%3、"/>
      <w:lvlJc w:val="left"/>
      <w:pPr>
        <w:ind w:left="1605" w:hanging="641"/>
      </w:pPr>
      <w:rPr>
        <w:rFonts w:eastAsia="標楷體" w:hint="eastAsia"/>
        <w:b w:val="0"/>
        <w:i w:val="0"/>
        <w:sz w:val="32"/>
      </w:rPr>
    </w:lvl>
    <w:lvl w:ilvl="3" w:tentative="1">
      <w:start w:val="1"/>
      <w:numFmt w:val="decimalFullWidth"/>
      <w:suff w:val="nothing"/>
      <w:lvlText w:val="(%4)"/>
      <w:lvlJc w:val="left"/>
      <w:pPr>
        <w:ind w:left="2041" w:hanging="538"/>
      </w:pPr>
      <w:rPr>
        <w:rFonts w:eastAsia="標楷體" w:hint="eastAsia"/>
        <w:b w:val="0"/>
        <w:i w:val="0"/>
        <w:sz w:val="32"/>
      </w:rPr>
    </w:lvl>
    <w:lvl w:ilvl="4" w:tentative="1">
      <w:start w:val="1"/>
      <w:numFmt w:val="none"/>
      <w:suff w:val="nothing"/>
      <w:lvlText w:val=""/>
      <w:lvlJc w:val="left"/>
      <w:pPr>
        <w:ind w:left="3280" w:hanging="640"/>
      </w:pPr>
      <w:rPr>
        <w:rFonts w:hint="eastAsia"/>
      </w:rPr>
    </w:lvl>
    <w:lvl w:ilvl="5" w:tentative="1">
      <w:start w:val="1"/>
      <w:numFmt w:val="none"/>
      <w:lvlText w:val=""/>
      <w:lvlJc w:val="left"/>
      <w:pPr>
        <w:tabs>
          <w:tab w:val="left" w:pos="3260"/>
        </w:tabs>
        <w:ind w:left="3260" w:hanging="1134"/>
      </w:pPr>
      <w:rPr>
        <w:rFonts w:hint="eastAsia"/>
      </w:rPr>
    </w:lvl>
    <w:lvl w:ilvl="6" w:tentative="1">
      <w:start w:val="1"/>
      <w:numFmt w:val="none"/>
      <w:lvlText w:val=""/>
      <w:lvlJc w:val="left"/>
      <w:pPr>
        <w:tabs>
          <w:tab w:val="left" w:pos="3827"/>
        </w:tabs>
        <w:ind w:left="3827" w:hanging="1276"/>
      </w:pPr>
      <w:rPr>
        <w:rFonts w:hint="eastAsia"/>
      </w:rPr>
    </w:lvl>
    <w:lvl w:ilvl="7" w:tentative="1">
      <w:start w:val="1"/>
      <w:numFmt w:val="none"/>
      <w:lvlText w:val=""/>
      <w:lvlJc w:val="left"/>
      <w:pPr>
        <w:tabs>
          <w:tab w:val="left" w:pos="4394"/>
        </w:tabs>
        <w:ind w:left="4394" w:hanging="1418"/>
      </w:pPr>
      <w:rPr>
        <w:rFonts w:hint="eastAsia"/>
      </w:rPr>
    </w:lvl>
    <w:lvl w:ilvl="8" w:tentative="1">
      <w:start w:val="1"/>
      <w:numFmt w:val="none"/>
      <w:lvlText w:val=""/>
      <w:lvlJc w:val="left"/>
      <w:pPr>
        <w:tabs>
          <w:tab w:val="left" w:pos="5102"/>
        </w:tabs>
        <w:ind w:left="5102" w:hanging="1700"/>
      </w:pPr>
      <w:rPr>
        <w:rFonts w:hint="eastAsia"/>
      </w:rPr>
    </w:lvl>
  </w:abstractNum>
  <w:abstractNum w:abstractNumId="2" w15:restartNumberingAfterBreak="0">
    <w:nsid w:val="189B359C"/>
    <w:multiLevelType w:val="multilevel"/>
    <w:tmpl w:val="189B359C"/>
    <w:lvl w:ilvl="0" w:tentative="1">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tentative="1">
      <w:start w:val="1"/>
      <w:numFmt w:val="taiwaneseCountingThousand"/>
      <w:suff w:val="nothing"/>
      <w:lvlText w:val="(%3)、"/>
      <w:lvlJc w:val="left"/>
      <w:pPr>
        <w:ind w:left="1418" w:hanging="567"/>
      </w:pPr>
      <w:rPr>
        <w:rFonts w:hint="eastAsia"/>
        <w:color w:val="auto"/>
      </w:rPr>
    </w:lvl>
    <w:lvl w:ilvl="3" w:tentative="1">
      <w:start w:val="1"/>
      <w:numFmt w:val="decimal"/>
      <w:suff w:val="nothing"/>
      <w:lvlText w:val="%4、"/>
      <w:lvlJc w:val="left"/>
      <w:pPr>
        <w:ind w:left="1701" w:hanging="425"/>
      </w:pPr>
      <w:rPr>
        <w:rFonts w:hint="eastAsia"/>
      </w:rPr>
    </w:lvl>
    <w:lvl w:ilvl="4" w:tentative="1">
      <w:start w:val="1"/>
      <w:numFmt w:val="decimal"/>
      <w:lvlText w:val="(%5)."/>
      <w:lvlJc w:val="left"/>
      <w:pPr>
        <w:tabs>
          <w:tab w:val="left" w:pos="2268"/>
        </w:tabs>
        <w:ind w:left="2268" w:hanging="567"/>
      </w:pPr>
      <w:rPr>
        <w:rFonts w:hint="eastAsia"/>
      </w:rPr>
    </w:lvl>
    <w:lvl w:ilvl="5" w:tentative="1">
      <w:start w:val="1"/>
      <w:numFmt w:val="decimal"/>
      <w:lvlText w:val="(%6)"/>
      <w:lvlJc w:val="left"/>
      <w:pPr>
        <w:tabs>
          <w:tab w:val="left" w:pos="2693"/>
        </w:tabs>
        <w:ind w:left="2693" w:hanging="567"/>
      </w:pPr>
      <w:rPr>
        <w:rFonts w:hint="eastAsia"/>
      </w:rPr>
    </w:lvl>
    <w:lvl w:ilvl="6" w:tentative="1">
      <w:start w:val="1"/>
      <w:numFmt w:val="decimal"/>
      <w:lvlText w:val="(%7)"/>
      <w:lvlJc w:val="left"/>
      <w:pPr>
        <w:tabs>
          <w:tab w:val="left" w:pos="3827"/>
        </w:tabs>
        <w:ind w:left="3827" w:hanging="1276"/>
      </w:pPr>
      <w:rPr>
        <w:rFonts w:hint="eastAsia"/>
      </w:rPr>
    </w:lvl>
    <w:lvl w:ilvl="7" w:tentative="1">
      <w:start w:val="1"/>
      <w:numFmt w:val="lowerLetter"/>
      <w:lvlText w:val="%8."/>
      <w:lvlJc w:val="left"/>
      <w:pPr>
        <w:tabs>
          <w:tab w:val="left" w:pos="4394"/>
        </w:tabs>
        <w:ind w:left="4394" w:hanging="1418"/>
      </w:pPr>
      <w:rPr>
        <w:rFonts w:hint="eastAsia"/>
      </w:rPr>
    </w:lvl>
    <w:lvl w:ilvl="8" w:tentative="1">
      <w:start w:val="1"/>
      <w:numFmt w:val="lowerLetter"/>
      <w:lvlText w:val="%9)"/>
      <w:lvlJc w:val="left"/>
      <w:pPr>
        <w:tabs>
          <w:tab w:val="left" w:pos="5102"/>
        </w:tabs>
        <w:ind w:left="5102" w:hanging="1700"/>
      </w:pPr>
      <w:rPr>
        <w:rFonts w:hint="eastAsia"/>
      </w:rPr>
    </w:lvl>
  </w:abstractNum>
  <w:abstractNum w:abstractNumId="3" w15:restartNumberingAfterBreak="0">
    <w:nsid w:val="31497CB3"/>
    <w:multiLevelType w:val="multilevel"/>
    <w:tmpl w:val="31497CB3"/>
    <w:lvl w:ilvl="0" w:tentative="1">
      <w:start w:val="1"/>
      <w:numFmt w:val="taiwaneseCountingThousand"/>
      <w:pStyle w:val="a0"/>
      <w:lvlText w:val="%1、"/>
      <w:lvlJc w:val="left"/>
      <w:pPr>
        <w:tabs>
          <w:tab w:val="left" w:pos="722"/>
        </w:tabs>
        <w:ind w:left="722" w:hanging="720"/>
      </w:pPr>
      <w:rPr>
        <w:rFonts w:hint="eastAsia"/>
      </w:rPr>
    </w:lvl>
    <w:lvl w:ilvl="1" w:tentative="1">
      <w:start w:val="1"/>
      <w:numFmt w:val="taiwaneseCountingThousand"/>
      <w:pStyle w:val="a1"/>
      <w:lvlText w:val="（%2）"/>
      <w:lvlJc w:val="left"/>
      <w:pPr>
        <w:tabs>
          <w:tab w:val="left" w:pos="1562"/>
        </w:tabs>
        <w:ind w:left="1562" w:hanging="1080"/>
      </w:pPr>
      <w:rPr>
        <w:rFonts w:hint="eastAsia"/>
      </w:rPr>
    </w:lvl>
    <w:lvl w:ilvl="2" w:tentative="1">
      <w:start w:val="1"/>
      <w:numFmt w:val="lowerRoman"/>
      <w:lvlText w:val="%3."/>
      <w:lvlJc w:val="right"/>
      <w:pPr>
        <w:tabs>
          <w:tab w:val="left" w:pos="1442"/>
        </w:tabs>
        <w:ind w:left="1442" w:hanging="480"/>
      </w:pPr>
    </w:lvl>
    <w:lvl w:ilvl="3" w:tentative="1">
      <w:start w:val="1"/>
      <w:numFmt w:val="decimal"/>
      <w:lvlText w:val="%4."/>
      <w:lvlJc w:val="left"/>
      <w:pPr>
        <w:tabs>
          <w:tab w:val="left" w:pos="1922"/>
        </w:tabs>
        <w:ind w:left="1922" w:hanging="480"/>
      </w:pPr>
    </w:lvl>
    <w:lvl w:ilvl="4" w:tentative="1">
      <w:start w:val="1"/>
      <w:numFmt w:val="ideographTraditional"/>
      <w:lvlText w:val="%5、"/>
      <w:lvlJc w:val="left"/>
      <w:pPr>
        <w:tabs>
          <w:tab w:val="left" w:pos="2402"/>
        </w:tabs>
        <w:ind w:left="2402" w:hanging="480"/>
      </w:pPr>
    </w:lvl>
    <w:lvl w:ilvl="5" w:tentative="1">
      <w:start w:val="1"/>
      <w:numFmt w:val="lowerRoman"/>
      <w:lvlText w:val="%6."/>
      <w:lvlJc w:val="right"/>
      <w:pPr>
        <w:tabs>
          <w:tab w:val="left" w:pos="2882"/>
        </w:tabs>
        <w:ind w:left="2882" w:hanging="480"/>
      </w:pPr>
    </w:lvl>
    <w:lvl w:ilvl="6" w:tentative="1">
      <w:start w:val="1"/>
      <w:numFmt w:val="decimal"/>
      <w:lvlText w:val="%7."/>
      <w:lvlJc w:val="left"/>
      <w:pPr>
        <w:tabs>
          <w:tab w:val="left" w:pos="3362"/>
        </w:tabs>
        <w:ind w:left="3362" w:hanging="480"/>
      </w:pPr>
    </w:lvl>
    <w:lvl w:ilvl="7" w:tentative="1">
      <w:start w:val="1"/>
      <w:numFmt w:val="ideographTraditional"/>
      <w:lvlText w:val="%8、"/>
      <w:lvlJc w:val="left"/>
      <w:pPr>
        <w:tabs>
          <w:tab w:val="left" w:pos="3842"/>
        </w:tabs>
        <w:ind w:left="3842" w:hanging="480"/>
      </w:pPr>
    </w:lvl>
    <w:lvl w:ilvl="8" w:tentative="1">
      <w:start w:val="1"/>
      <w:numFmt w:val="lowerRoman"/>
      <w:lvlText w:val="%9."/>
      <w:lvlJc w:val="right"/>
      <w:pPr>
        <w:tabs>
          <w:tab w:val="left" w:pos="4322"/>
        </w:tabs>
        <w:ind w:left="4322" w:hanging="480"/>
      </w:pPr>
    </w:lvl>
  </w:abstractNum>
  <w:abstractNum w:abstractNumId="4" w15:restartNumberingAfterBreak="0">
    <w:nsid w:val="3D1A4602"/>
    <w:multiLevelType w:val="multilevel"/>
    <w:tmpl w:val="3D1A4602"/>
    <w:lvl w:ilvl="0" w:tentative="1">
      <w:start w:val="1"/>
      <w:numFmt w:val="taiwaneseCountingThousand"/>
      <w:pStyle w:val="a2"/>
      <w:suff w:val="nothing"/>
      <w:lvlText w:val="%1、"/>
      <w:lvlJc w:val="left"/>
      <w:pPr>
        <w:ind w:left="425" w:hanging="425"/>
      </w:pPr>
      <w:rPr>
        <w:rFonts w:ascii="標楷體" w:eastAsia="標楷體" w:hint="eastAsia"/>
        <w:b w:val="0"/>
        <w:i w:val="0"/>
        <w:sz w:val="28"/>
      </w:rPr>
    </w:lvl>
    <w:lvl w:ilvl="1" w:tentative="1">
      <w:start w:val="1"/>
      <w:numFmt w:val="taiwaneseCountingThousand"/>
      <w:suff w:val="nothing"/>
      <w:lvlText w:val="(%2)、"/>
      <w:lvlJc w:val="left"/>
      <w:pPr>
        <w:ind w:left="851" w:hanging="738"/>
      </w:pPr>
      <w:rPr>
        <w:rFonts w:ascii="標楷體" w:eastAsia="標楷體" w:hint="eastAsia"/>
        <w:b w:val="0"/>
        <w:i w:val="0"/>
        <w:sz w:val="28"/>
      </w:rPr>
    </w:lvl>
    <w:lvl w:ilvl="2" w:tentative="1">
      <w:start w:val="1"/>
      <w:numFmt w:val="decimal"/>
      <w:suff w:val="nothing"/>
      <w:lvlText w:val="%3."/>
      <w:lvlJc w:val="left"/>
      <w:pPr>
        <w:ind w:left="1418" w:hanging="567"/>
      </w:pPr>
      <w:rPr>
        <w:rFonts w:ascii="標楷體" w:eastAsia="標楷體" w:hint="eastAsia"/>
        <w:b w:val="0"/>
        <w:i w:val="0"/>
        <w:sz w:val="28"/>
      </w:rPr>
    </w:lvl>
    <w:lvl w:ilvl="3" w:tentative="1">
      <w:start w:val="1"/>
      <w:numFmt w:val="decimal"/>
      <w:lvlText w:val="%1.%2.%3.%4"/>
      <w:lvlJc w:val="left"/>
      <w:pPr>
        <w:tabs>
          <w:tab w:val="left" w:pos="2356"/>
        </w:tabs>
        <w:ind w:left="1984" w:hanging="708"/>
      </w:pPr>
      <w:rPr>
        <w:rFonts w:hint="eastAsia"/>
      </w:rPr>
    </w:lvl>
    <w:lvl w:ilvl="4" w:tentative="1">
      <w:start w:val="1"/>
      <w:numFmt w:val="decimal"/>
      <w:lvlText w:val="%1.%2.%3.%4.%5"/>
      <w:lvlJc w:val="left"/>
      <w:pPr>
        <w:tabs>
          <w:tab w:val="left" w:pos="3141"/>
        </w:tabs>
        <w:ind w:left="2551" w:hanging="850"/>
      </w:pPr>
      <w:rPr>
        <w:rFonts w:hint="eastAsia"/>
      </w:rPr>
    </w:lvl>
    <w:lvl w:ilvl="5" w:tentative="1">
      <w:start w:val="1"/>
      <w:numFmt w:val="decimal"/>
      <w:lvlText w:val="%1.%2.%3.%4.%5.%6"/>
      <w:lvlJc w:val="left"/>
      <w:pPr>
        <w:tabs>
          <w:tab w:val="left" w:pos="3566"/>
        </w:tabs>
        <w:ind w:left="3260" w:hanging="1134"/>
      </w:pPr>
      <w:rPr>
        <w:rFonts w:hint="eastAsia"/>
      </w:rPr>
    </w:lvl>
    <w:lvl w:ilvl="6" w:tentative="1">
      <w:start w:val="1"/>
      <w:numFmt w:val="decimal"/>
      <w:lvlText w:val="%1.%2.%3.%4.%5.%6.%7"/>
      <w:lvlJc w:val="left"/>
      <w:pPr>
        <w:tabs>
          <w:tab w:val="left" w:pos="4351"/>
        </w:tabs>
        <w:ind w:left="3827" w:hanging="1276"/>
      </w:pPr>
      <w:rPr>
        <w:rFonts w:hint="eastAsia"/>
      </w:rPr>
    </w:lvl>
    <w:lvl w:ilvl="7" w:tentative="1">
      <w:start w:val="1"/>
      <w:numFmt w:val="decimal"/>
      <w:lvlText w:val="%1.%2.%3.%4.%5.%6.%7.%8"/>
      <w:lvlJc w:val="left"/>
      <w:pPr>
        <w:tabs>
          <w:tab w:val="left" w:pos="5136"/>
        </w:tabs>
        <w:ind w:left="4394" w:hanging="1418"/>
      </w:pPr>
      <w:rPr>
        <w:rFonts w:hint="eastAsia"/>
      </w:rPr>
    </w:lvl>
    <w:lvl w:ilvl="8" w:tentative="1">
      <w:start w:val="1"/>
      <w:numFmt w:val="decimal"/>
      <w:lvlText w:val="%1.%2.%3.%4.%5.%6.%7.%8.%9"/>
      <w:lvlJc w:val="left"/>
      <w:pPr>
        <w:tabs>
          <w:tab w:val="left" w:pos="5562"/>
        </w:tabs>
        <w:ind w:left="5102" w:hanging="1700"/>
      </w:pPr>
      <w:rPr>
        <w:rFonts w:hint="eastAsia"/>
      </w:rPr>
    </w:lvl>
  </w:abstractNum>
  <w:abstractNum w:abstractNumId="5" w15:restartNumberingAfterBreak="0">
    <w:nsid w:val="3FB369BB"/>
    <w:multiLevelType w:val="multilevel"/>
    <w:tmpl w:val="3FB369BB"/>
    <w:lvl w:ilvl="0">
      <w:start w:val="1"/>
      <w:numFmt w:val="decimal"/>
      <w:lvlText w:val="%1."/>
      <w:lvlJc w:val="left"/>
      <w:pPr>
        <w:tabs>
          <w:tab w:val="left" w:pos="840"/>
        </w:tabs>
        <w:ind w:left="840" w:hanging="360"/>
      </w:pPr>
      <w:rPr>
        <w:rFonts w:hAnsi="標楷體" w:cs="細明體" w:hint="default"/>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 w15:restartNumberingAfterBreak="0">
    <w:nsid w:val="515E4E5E"/>
    <w:multiLevelType w:val="multilevel"/>
    <w:tmpl w:val="515E4E5E"/>
    <w:lvl w:ilvl="0" w:tentative="1">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tentative="1">
      <w:start w:val="1"/>
      <w:numFmt w:val="taiwaneseCountingThousand"/>
      <w:suff w:val="nothing"/>
      <w:lvlText w:val="(%3)、"/>
      <w:lvlJc w:val="left"/>
      <w:pPr>
        <w:ind w:left="1418" w:hanging="567"/>
      </w:pPr>
      <w:rPr>
        <w:rFonts w:hint="eastAsia"/>
        <w:color w:val="auto"/>
      </w:rPr>
    </w:lvl>
    <w:lvl w:ilvl="3" w:tentative="1">
      <w:start w:val="1"/>
      <w:numFmt w:val="decimal"/>
      <w:suff w:val="nothing"/>
      <w:lvlText w:val="%4、"/>
      <w:lvlJc w:val="left"/>
      <w:pPr>
        <w:ind w:left="1701" w:hanging="425"/>
      </w:pPr>
      <w:rPr>
        <w:rFonts w:hint="eastAsia"/>
      </w:rPr>
    </w:lvl>
    <w:lvl w:ilvl="4" w:tentative="1">
      <w:start w:val="1"/>
      <w:numFmt w:val="decimal"/>
      <w:lvlText w:val="(%5)."/>
      <w:lvlJc w:val="left"/>
      <w:pPr>
        <w:tabs>
          <w:tab w:val="left" w:pos="2268"/>
        </w:tabs>
        <w:ind w:left="2268" w:hanging="567"/>
      </w:pPr>
      <w:rPr>
        <w:rFonts w:hint="eastAsia"/>
      </w:rPr>
    </w:lvl>
    <w:lvl w:ilvl="5" w:tentative="1">
      <w:start w:val="1"/>
      <w:numFmt w:val="decimal"/>
      <w:lvlText w:val="(%6)"/>
      <w:lvlJc w:val="left"/>
      <w:pPr>
        <w:tabs>
          <w:tab w:val="left" w:pos="2693"/>
        </w:tabs>
        <w:ind w:left="2693" w:hanging="567"/>
      </w:pPr>
      <w:rPr>
        <w:rFonts w:hint="eastAsia"/>
      </w:rPr>
    </w:lvl>
    <w:lvl w:ilvl="6" w:tentative="1">
      <w:start w:val="1"/>
      <w:numFmt w:val="decimal"/>
      <w:lvlText w:val="(%7)"/>
      <w:lvlJc w:val="left"/>
      <w:pPr>
        <w:tabs>
          <w:tab w:val="left" w:pos="3827"/>
        </w:tabs>
        <w:ind w:left="3827" w:hanging="1276"/>
      </w:pPr>
      <w:rPr>
        <w:rFonts w:hint="eastAsia"/>
      </w:rPr>
    </w:lvl>
    <w:lvl w:ilvl="7" w:tentative="1">
      <w:start w:val="1"/>
      <w:numFmt w:val="lowerLetter"/>
      <w:lvlText w:val="%8."/>
      <w:lvlJc w:val="left"/>
      <w:pPr>
        <w:tabs>
          <w:tab w:val="left" w:pos="4394"/>
        </w:tabs>
        <w:ind w:left="4394" w:hanging="1418"/>
      </w:pPr>
      <w:rPr>
        <w:rFonts w:hint="eastAsia"/>
      </w:rPr>
    </w:lvl>
    <w:lvl w:ilvl="8" w:tentative="1">
      <w:start w:val="1"/>
      <w:numFmt w:val="lowerLetter"/>
      <w:lvlText w:val="%9)"/>
      <w:lvlJc w:val="left"/>
      <w:pPr>
        <w:tabs>
          <w:tab w:val="left" w:pos="5102"/>
        </w:tabs>
        <w:ind w:left="5102" w:hanging="1700"/>
      </w:pPr>
      <w:rPr>
        <w:rFonts w:hint="eastAsia"/>
      </w:rPr>
    </w:lvl>
  </w:abstractNum>
  <w:abstractNum w:abstractNumId="7" w15:restartNumberingAfterBreak="0">
    <w:nsid w:val="53FF1337"/>
    <w:multiLevelType w:val="multilevel"/>
    <w:tmpl w:val="53FF1337"/>
    <w:lvl w:ilvl="0" w:tentative="1">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tentative="1">
      <w:start w:val="1"/>
      <w:numFmt w:val="taiwaneseCountingThousand"/>
      <w:suff w:val="nothing"/>
      <w:lvlText w:val="(%3)、"/>
      <w:lvlJc w:val="left"/>
      <w:pPr>
        <w:ind w:left="1418" w:hanging="567"/>
      </w:pPr>
      <w:rPr>
        <w:rFonts w:hint="eastAsia"/>
        <w:color w:val="auto"/>
      </w:rPr>
    </w:lvl>
    <w:lvl w:ilvl="3" w:tentative="1">
      <w:start w:val="1"/>
      <w:numFmt w:val="decimal"/>
      <w:suff w:val="nothing"/>
      <w:lvlText w:val="%4、"/>
      <w:lvlJc w:val="left"/>
      <w:pPr>
        <w:ind w:left="1701" w:hanging="425"/>
      </w:pPr>
      <w:rPr>
        <w:rFonts w:hint="eastAsia"/>
      </w:rPr>
    </w:lvl>
    <w:lvl w:ilvl="4" w:tentative="1">
      <w:start w:val="1"/>
      <w:numFmt w:val="decimal"/>
      <w:lvlText w:val="(%5)."/>
      <w:lvlJc w:val="left"/>
      <w:pPr>
        <w:tabs>
          <w:tab w:val="left" w:pos="2268"/>
        </w:tabs>
        <w:ind w:left="2268" w:hanging="567"/>
      </w:pPr>
      <w:rPr>
        <w:rFonts w:hint="eastAsia"/>
      </w:rPr>
    </w:lvl>
    <w:lvl w:ilvl="5" w:tentative="1">
      <w:start w:val="1"/>
      <w:numFmt w:val="decimal"/>
      <w:lvlText w:val="(%6)"/>
      <w:lvlJc w:val="left"/>
      <w:pPr>
        <w:tabs>
          <w:tab w:val="left" w:pos="2693"/>
        </w:tabs>
        <w:ind w:left="2693" w:hanging="567"/>
      </w:pPr>
      <w:rPr>
        <w:rFonts w:hint="eastAsia"/>
      </w:rPr>
    </w:lvl>
    <w:lvl w:ilvl="6" w:tentative="1">
      <w:start w:val="1"/>
      <w:numFmt w:val="decimal"/>
      <w:lvlText w:val="(%7)"/>
      <w:lvlJc w:val="left"/>
      <w:pPr>
        <w:tabs>
          <w:tab w:val="left" w:pos="3827"/>
        </w:tabs>
        <w:ind w:left="3827" w:hanging="1276"/>
      </w:pPr>
      <w:rPr>
        <w:rFonts w:hint="eastAsia"/>
      </w:rPr>
    </w:lvl>
    <w:lvl w:ilvl="7" w:tentative="1">
      <w:start w:val="1"/>
      <w:numFmt w:val="lowerLetter"/>
      <w:lvlText w:val="%8."/>
      <w:lvlJc w:val="left"/>
      <w:pPr>
        <w:tabs>
          <w:tab w:val="left" w:pos="4394"/>
        </w:tabs>
        <w:ind w:left="4394" w:hanging="1418"/>
      </w:pPr>
      <w:rPr>
        <w:rFonts w:hint="eastAsia"/>
      </w:rPr>
    </w:lvl>
    <w:lvl w:ilvl="8" w:tentative="1">
      <w:start w:val="1"/>
      <w:numFmt w:val="lowerLetter"/>
      <w:lvlText w:val="%9)"/>
      <w:lvlJc w:val="left"/>
      <w:pPr>
        <w:tabs>
          <w:tab w:val="left" w:pos="5102"/>
        </w:tabs>
        <w:ind w:left="5102" w:hanging="1700"/>
      </w:pPr>
      <w:rPr>
        <w:rFonts w:hint="eastAsia"/>
      </w:rPr>
    </w:lvl>
  </w:abstractNum>
  <w:abstractNum w:abstractNumId="8" w15:restartNumberingAfterBreak="0">
    <w:nsid w:val="57F80369"/>
    <w:multiLevelType w:val="multilevel"/>
    <w:tmpl w:val="57F80369"/>
    <w:lvl w:ilvl="0" w:tentative="1">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tentative="1">
      <w:start w:val="1"/>
      <w:numFmt w:val="taiwaneseCountingThousand"/>
      <w:suff w:val="nothing"/>
      <w:lvlText w:val="(%3)、"/>
      <w:lvlJc w:val="left"/>
      <w:pPr>
        <w:ind w:left="1418" w:hanging="567"/>
      </w:pPr>
      <w:rPr>
        <w:rFonts w:hint="eastAsia"/>
        <w:color w:val="auto"/>
      </w:rPr>
    </w:lvl>
    <w:lvl w:ilvl="3" w:tentative="1">
      <w:start w:val="1"/>
      <w:numFmt w:val="decimal"/>
      <w:suff w:val="nothing"/>
      <w:lvlText w:val="%4、"/>
      <w:lvlJc w:val="left"/>
      <w:pPr>
        <w:ind w:left="1701" w:hanging="425"/>
      </w:pPr>
      <w:rPr>
        <w:rFonts w:hint="eastAsia"/>
      </w:rPr>
    </w:lvl>
    <w:lvl w:ilvl="4" w:tentative="1">
      <w:start w:val="1"/>
      <w:numFmt w:val="decimal"/>
      <w:lvlText w:val="(%5)."/>
      <w:lvlJc w:val="left"/>
      <w:pPr>
        <w:tabs>
          <w:tab w:val="left" w:pos="2268"/>
        </w:tabs>
        <w:ind w:left="2268" w:hanging="567"/>
      </w:pPr>
      <w:rPr>
        <w:rFonts w:hint="eastAsia"/>
      </w:rPr>
    </w:lvl>
    <w:lvl w:ilvl="5" w:tentative="1">
      <w:start w:val="1"/>
      <w:numFmt w:val="decimal"/>
      <w:lvlText w:val="(%6)"/>
      <w:lvlJc w:val="left"/>
      <w:pPr>
        <w:tabs>
          <w:tab w:val="left" w:pos="2693"/>
        </w:tabs>
        <w:ind w:left="2693" w:hanging="567"/>
      </w:pPr>
      <w:rPr>
        <w:rFonts w:hint="eastAsia"/>
      </w:rPr>
    </w:lvl>
    <w:lvl w:ilvl="6" w:tentative="1">
      <w:start w:val="1"/>
      <w:numFmt w:val="decimal"/>
      <w:lvlText w:val="(%7)"/>
      <w:lvlJc w:val="left"/>
      <w:pPr>
        <w:tabs>
          <w:tab w:val="left" w:pos="3827"/>
        </w:tabs>
        <w:ind w:left="3827" w:hanging="1276"/>
      </w:pPr>
      <w:rPr>
        <w:rFonts w:hint="eastAsia"/>
      </w:rPr>
    </w:lvl>
    <w:lvl w:ilvl="7" w:tentative="1">
      <w:start w:val="1"/>
      <w:numFmt w:val="lowerLetter"/>
      <w:lvlText w:val="%8."/>
      <w:lvlJc w:val="left"/>
      <w:pPr>
        <w:tabs>
          <w:tab w:val="left" w:pos="4394"/>
        </w:tabs>
        <w:ind w:left="4394" w:hanging="1418"/>
      </w:pPr>
      <w:rPr>
        <w:rFonts w:hint="eastAsia"/>
      </w:rPr>
    </w:lvl>
    <w:lvl w:ilvl="8" w:tentative="1">
      <w:start w:val="1"/>
      <w:numFmt w:val="lowerLetter"/>
      <w:lvlText w:val="%9)"/>
      <w:lvlJc w:val="left"/>
      <w:pPr>
        <w:tabs>
          <w:tab w:val="left" w:pos="5102"/>
        </w:tabs>
        <w:ind w:left="5102" w:hanging="1700"/>
      </w:pPr>
      <w:rPr>
        <w:rFonts w:hint="eastAsia"/>
      </w:rPr>
    </w:lvl>
  </w:abstractNum>
  <w:abstractNum w:abstractNumId="9" w15:restartNumberingAfterBreak="0">
    <w:nsid w:val="5A9F51AE"/>
    <w:multiLevelType w:val="multilevel"/>
    <w:tmpl w:val="5A9F51AE"/>
    <w:lvl w:ilvl="0" w:tentative="1">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2127" w:hanging="567"/>
      </w:pPr>
      <w:rPr>
        <w:rFonts w:ascii="標楷體" w:eastAsia="標楷體" w:hAnsi="標楷體" w:hint="eastAsia"/>
      </w:rPr>
    </w:lvl>
    <w:lvl w:ilvl="2" w:tentative="1">
      <w:start w:val="1"/>
      <w:numFmt w:val="taiwaneseCountingThousand"/>
      <w:suff w:val="nothing"/>
      <w:lvlText w:val="(%3)、"/>
      <w:lvlJc w:val="left"/>
      <w:pPr>
        <w:ind w:left="1418" w:hanging="567"/>
      </w:pPr>
      <w:rPr>
        <w:rFonts w:hint="eastAsia"/>
        <w:color w:val="auto"/>
      </w:rPr>
    </w:lvl>
    <w:lvl w:ilvl="3" w:tentative="1">
      <w:start w:val="1"/>
      <w:numFmt w:val="decimal"/>
      <w:suff w:val="nothing"/>
      <w:lvlText w:val="%4、"/>
      <w:lvlJc w:val="left"/>
      <w:pPr>
        <w:ind w:left="1701" w:hanging="425"/>
      </w:pPr>
      <w:rPr>
        <w:rFonts w:hint="eastAsia"/>
      </w:rPr>
    </w:lvl>
    <w:lvl w:ilvl="4" w:tentative="1">
      <w:start w:val="1"/>
      <w:numFmt w:val="decimal"/>
      <w:lvlText w:val="(%5)."/>
      <w:lvlJc w:val="left"/>
      <w:pPr>
        <w:tabs>
          <w:tab w:val="left" w:pos="2268"/>
        </w:tabs>
        <w:ind w:left="2268" w:hanging="567"/>
      </w:pPr>
      <w:rPr>
        <w:rFonts w:hint="eastAsia"/>
      </w:rPr>
    </w:lvl>
    <w:lvl w:ilvl="5" w:tentative="1">
      <w:start w:val="1"/>
      <w:numFmt w:val="decimal"/>
      <w:lvlText w:val="(%6)"/>
      <w:lvlJc w:val="left"/>
      <w:pPr>
        <w:tabs>
          <w:tab w:val="left" w:pos="2693"/>
        </w:tabs>
        <w:ind w:left="2693" w:hanging="567"/>
      </w:pPr>
      <w:rPr>
        <w:rFonts w:hint="eastAsia"/>
      </w:rPr>
    </w:lvl>
    <w:lvl w:ilvl="6" w:tentative="1">
      <w:start w:val="1"/>
      <w:numFmt w:val="decimal"/>
      <w:lvlText w:val="(%7)"/>
      <w:lvlJc w:val="left"/>
      <w:pPr>
        <w:tabs>
          <w:tab w:val="left" w:pos="3827"/>
        </w:tabs>
        <w:ind w:left="3827" w:hanging="1276"/>
      </w:pPr>
      <w:rPr>
        <w:rFonts w:hint="eastAsia"/>
      </w:rPr>
    </w:lvl>
    <w:lvl w:ilvl="7" w:tentative="1">
      <w:start w:val="1"/>
      <w:numFmt w:val="lowerLetter"/>
      <w:lvlText w:val="%8."/>
      <w:lvlJc w:val="left"/>
      <w:pPr>
        <w:tabs>
          <w:tab w:val="left" w:pos="4394"/>
        </w:tabs>
        <w:ind w:left="4394" w:hanging="1418"/>
      </w:pPr>
      <w:rPr>
        <w:rFonts w:hint="eastAsia"/>
      </w:rPr>
    </w:lvl>
    <w:lvl w:ilvl="8" w:tentative="1">
      <w:start w:val="1"/>
      <w:numFmt w:val="lowerLetter"/>
      <w:lvlText w:val="%9)"/>
      <w:lvlJc w:val="left"/>
      <w:pPr>
        <w:tabs>
          <w:tab w:val="left" w:pos="5102"/>
        </w:tabs>
        <w:ind w:left="5102" w:hanging="1700"/>
      </w:pPr>
      <w:rPr>
        <w:rFonts w:hint="eastAsia"/>
      </w:rPr>
    </w:lvl>
  </w:abstractNum>
  <w:abstractNum w:abstractNumId="10" w15:restartNumberingAfterBreak="0">
    <w:nsid w:val="5F1C0703"/>
    <w:multiLevelType w:val="multilevel"/>
    <w:tmpl w:val="5F1C0703"/>
    <w:lvl w:ilvl="0">
      <w:start w:val="1"/>
      <w:numFmt w:val="taiwaneseCountingThousand"/>
      <w:lvlText w:val="%1、"/>
      <w:lvlJc w:val="left"/>
      <w:pPr>
        <w:tabs>
          <w:tab w:val="left" w:pos="1440"/>
        </w:tabs>
        <w:ind w:left="1440" w:hanging="480"/>
      </w:pPr>
      <w:rPr>
        <w:rFonts w:cs="Times New Roman" w:hint="default"/>
        <w:color w:val="auto"/>
      </w:rPr>
    </w:lvl>
    <w:lvl w:ilvl="1" w:tentative="1">
      <w:start w:val="4"/>
      <w:numFmt w:val="ideographLegalTraditional"/>
      <w:lvlText w:val="第%2節、"/>
      <w:lvlJc w:val="left"/>
      <w:pPr>
        <w:tabs>
          <w:tab w:val="left" w:pos="1560"/>
        </w:tabs>
        <w:ind w:left="1560" w:hanging="1080"/>
      </w:pPr>
      <w:rPr>
        <w:rFonts w:hint="default"/>
      </w:rPr>
    </w:lvl>
    <w:lvl w:ilvl="2" w:tentative="1">
      <w:start w:val="1"/>
      <w:numFmt w:val="lowerRoman"/>
      <w:lvlText w:val="%3."/>
      <w:lvlJc w:val="right"/>
      <w:pPr>
        <w:tabs>
          <w:tab w:val="left" w:pos="1440"/>
        </w:tabs>
        <w:ind w:left="1440" w:hanging="480"/>
      </w:pPr>
    </w:lvl>
    <w:lvl w:ilvl="3" w:tentative="1">
      <w:start w:val="1"/>
      <w:numFmt w:val="decimal"/>
      <w:lvlText w:val="%4."/>
      <w:lvlJc w:val="left"/>
      <w:pPr>
        <w:tabs>
          <w:tab w:val="left" w:pos="1920"/>
        </w:tabs>
        <w:ind w:left="1920" w:hanging="480"/>
      </w:pPr>
    </w:lvl>
    <w:lvl w:ilvl="4" w:tentative="1">
      <w:start w:val="1"/>
      <w:numFmt w:val="ideographTraditional"/>
      <w:lvlText w:val="%5、"/>
      <w:lvlJc w:val="left"/>
      <w:pPr>
        <w:tabs>
          <w:tab w:val="left" w:pos="2400"/>
        </w:tabs>
        <w:ind w:left="2400" w:hanging="480"/>
      </w:pPr>
    </w:lvl>
    <w:lvl w:ilvl="5" w:tentative="1">
      <w:start w:val="1"/>
      <w:numFmt w:val="lowerRoman"/>
      <w:lvlText w:val="%6."/>
      <w:lvlJc w:val="right"/>
      <w:pPr>
        <w:tabs>
          <w:tab w:val="left" w:pos="2880"/>
        </w:tabs>
        <w:ind w:left="2880" w:hanging="480"/>
      </w:pPr>
    </w:lvl>
    <w:lvl w:ilvl="6" w:tentative="1">
      <w:start w:val="1"/>
      <w:numFmt w:val="decimal"/>
      <w:lvlText w:val="%7."/>
      <w:lvlJc w:val="left"/>
      <w:pPr>
        <w:tabs>
          <w:tab w:val="left" w:pos="3360"/>
        </w:tabs>
        <w:ind w:left="3360" w:hanging="480"/>
      </w:pPr>
    </w:lvl>
    <w:lvl w:ilvl="7" w:tentative="1">
      <w:start w:val="1"/>
      <w:numFmt w:val="ideographTraditional"/>
      <w:lvlText w:val="%8、"/>
      <w:lvlJc w:val="left"/>
      <w:pPr>
        <w:tabs>
          <w:tab w:val="left" w:pos="3840"/>
        </w:tabs>
        <w:ind w:left="3840" w:hanging="480"/>
      </w:pPr>
    </w:lvl>
    <w:lvl w:ilvl="8" w:tentative="1">
      <w:start w:val="1"/>
      <w:numFmt w:val="lowerRoman"/>
      <w:lvlText w:val="%9."/>
      <w:lvlJc w:val="right"/>
      <w:pPr>
        <w:tabs>
          <w:tab w:val="left" w:pos="4320"/>
        </w:tabs>
        <w:ind w:left="4320" w:hanging="480"/>
      </w:pPr>
    </w:lvl>
  </w:abstractNum>
  <w:abstractNum w:abstractNumId="11" w15:restartNumberingAfterBreak="0">
    <w:nsid w:val="5FCD776B"/>
    <w:multiLevelType w:val="multilevel"/>
    <w:tmpl w:val="5FCD776B"/>
    <w:lvl w:ilvl="0">
      <w:start w:val="1"/>
      <w:numFmt w:val="decimal"/>
      <w:lvlText w:val="%1."/>
      <w:lvlJc w:val="left"/>
      <w:pPr>
        <w:tabs>
          <w:tab w:val="left" w:pos="840"/>
        </w:tabs>
        <w:ind w:left="840" w:hanging="360"/>
      </w:pPr>
      <w:rPr>
        <w:rFonts w:hAnsi="標楷體" w:cs="細明體" w:hint="default"/>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 w15:restartNumberingAfterBreak="0">
    <w:nsid w:val="6A9058EA"/>
    <w:multiLevelType w:val="multilevel"/>
    <w:tmpl w:val="6A9058EA"/>
    <w:lvl w:ilvl="0" w:tentative="1">
      <w:start w:val="1"/>
      <w:numFmt w:val="ideographLegalTraditional"/>
      <w:suff w:val="nothing"/>
      <w:lvlText w:val="%1、"/>
      <w:lvlJc w:val="left"/>
      <w:pPr>
        <w:ind w:left="425" w:hanging="425"/>
      </w:pPr>
      <w:rPr>
        <w:rFonts w:hint="eastAsia"/>
      </w:rPr>
    </w:lvl>
    <w:lvl w:ilvl="1">
      <w:start w:val="1"/>
      <w:numFmt w:val="taiwaneseCountingThousand"/>
      <w:suff w:val="nothing"/>
      <w:lvlText w:val="(%2)"/>
      <w:lvlJc w:val="left"/>
      <w:pPr>
        <w:ind w:left="992" w:hanging="567"/>
      </w:pPr>
      <w:rPr>
        <w:rFonts w:ascii="標楷體" w:eastAsia="標楷體" w:hAnsi="標楷體" w:hint="eastAsia"/>
      </w:rPr>
    </w:lvl>
    <w:lvl w:ilvl="2" w:tentative="1">
      <w:start w:val="1"/>
      <w:numFmt w:val="taiwaneseCountingThousand"/>
      <w:suff w:val="nothing"/>
      <w:lvlText w:val="(%3)、"/>
      <w:lvlJc w:val="left"/>
      <w:pPr>
        <w:ind w:left="1418" w:hanging="567"/>
      </w:pPr>
      <w:rPr>
        <w:rFonts w:hint="eastAsia"/>
        <w:color w:val="auto"/>
      </w:rPr>
    </w:lvl>
    <w:lvl w:ilvl="3" w:tentative="1">
      <w:start w:val="1"/>
      <w:numFmt w:val="decimal"/>
      <w:suff w:val="nothing"/>
      <w:lvlText w:val="%4、"/>
      <w:lvlJc w:val="left"/>
      <w:pPr>
        <w:ind w:left="1701" w:hanging="425"/>
      </w:pPr>
      <w:rPr>
        <w:rFonts w:hint="eastAsia"/>
      </w:rPr>
    </w:lvl>
    <w:lvl w:ilvl="4" w:tentative="1">
      <w:start w:val="1"/>
      <w:numFmt w:val="decimal"/>
      <w:lvlText w:val="(%5)."/>
      <w:lvlJc w:val="left"/>
      <w:pPr>
        <w:tabs>
          <w:tab w:val="left" w:pos="2268"/>
        </w:tabs>
        <w:ind w:left="2268" w:hanging="567"/>
      </w:pPr>
      <w:rPr>
        <w:rFonts w:hint="eastAsia"/>
      </w:rPr>
    </w:lvl>
    <w:lvl w:ilvl="5" w:tentative="1">
      <w:start w:val="1"/>
      <w:numFmt w:val="decimal"/>
      <w:lvlText w:val="(%6)"/>
      <w:lvlJc w:val="left"/>
      <w:pPr>
        <w:tabs>
          <w:tab w:val="left" w:pos="2693"/>
        </w:tabs>
        <w:ind w:left="2693" w:hanging="567"/>
      </w:pPr>
      <w:rPr>
        <w:rFonts w:hint="eastAsia"/>
      </w:rPr>
    </w:lvl>
    <w:lvl w:ilvl="6" w:tentative="1">
      <w:start w:val="1"/>
      <w:numFmt w:val="decimal"/>
      <w:lvlText w:val="(%7)"/>
      <w:lvlJc w:val="left"/>
      <w:pPr>
        <w:tabs>
          <w:tab w:val="left" w:pos="3827"/>
        </w:tabs>
        <w:ind w:left="3827" w:hanging="1276"/>
      </w:pPr>
      <w:rPr>
        <w:rFonts w:hint="eastAsia"/>
      </w:rPr>
    </w:lvl>
    <w:lvl w:ilvl="7" w:tentative="1">
      <w:start w:val="1"/>
      <w:numFmt w:val="lowerLetter"/>
      <w:lvlText w:val="%8."/>
      <w:lvlJc w:val="left"/>
      <w:pPr>
        <w:tabs>
          <w:tab w:val="left" w:pos="4394"/>
        </w:tabs>
        <w:ind w:left="4394" w:hanging="1418"/>
      </w:pPr>
      <w:rPr>
        <w:rFonts w:hint="eastAsia"/>
      </w:rPr>
    </w:lvl>
    <w:lvl w:ilvl="8" w:tentative="1">
      <w:start w:val="1"/>
      <w:numFmt w:val="lowerLetter"/>
      <w:lvlText w:val="%9)"/>
      <w:lvlJc w:val="left"/>
      <w:pPr>
        <w:tabs>
          <w:tab w:val="left" w:pos="5102"/>
        </w:tabs>
        <w:ind w:left="5102" w:hanging="1700"/>
      </w:pPr>
      <w:rPr>
        <w:rFonts w:hint="eastAsia"/>
      </w:rPr>
    </w:lvl>
  </w:abstractNum>
  <w:abstractNum w:abstractNumId="13" w15:restartNumberingAfterBreak="0">
    <w:nsid w:val="7BA379B5"/>
    <w:multiLevelType w:val="multilevel"/>
    <w:tmpl w:val="7BA379B5"/>
    <w:lvl w:ilvl="0">
      <w:start w:val="1"/>
      <w:numFmt w:val="decimal"/>
      <w:lvlText w:val="%1."/>
      <w:lvlJc w:val="left"/>
      <w:pPr>
        <w:tabs>
          <w:tab w:val="left" w:pos="840"/>
        </w:tabs>
        <w:ind w:left="840" w:hanging="360"/>
      </w:pPr>
      <w:rPr>
        <w:rFonts w:hAnsi="標楷體" w:cs="細明體" w:hint="default"/>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1"/>
  </w:num>
  <w:num w:numId="2">
    <w:abstractNumId w:val="3"/>
  </w:num>
  <w:num w:numId="3">
    <w:abstractNumId w:val="4"/>
  </w:num>
  <w:num w:numId="4">
    <w:abstractNumId w:val="10"/>
  </w:num>
  <w:num w:numId="5">
    <w:abstractNumId w:val="12"/>
  </w:num>
  <w:num w:numId="6">
    <w:abstractNumId w:val="5"/>
  </w:num>
  <w:num w:numId="7">
    <w:abstractNumId w:val="6"/>
  </w:num>
  <w:num w:numId="8">
    <w:abstractNumId w:val="11"/>
  </w:num>
  <w:num w:numId="9">
    <w:abstractNumId w:val="8"/>
  </w:num>
  <w:num w:numId="10">
    <w:abstractNumId w:val="2"/>
  </w:num>
  <w:num w:numId="11">
    <w:abstractNumId w:val="0"/>
  </w:num>
  <w:num w:numId="12">
    <w:abstractNumId w:val="9"/>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549"/>
    <w:rsid w:val="00057F4E"/>
    <w:rsid w:val="000E63EC"/>
    <w:rsid w:val="002F327A"/>
    <w:rsid w:val="00A33631"/>
    <w:rsid w:val="00B23549"/>
    <w:rsid w:val="00B4227C"/>
    <w:rsid w:val="00F41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9576848-29C3-45E5-B749-BDF3ECC5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lsdException w:name="annotation text" w:semiHidden="1"/>
    <w:lsdException w:name="footer" w:uiPriority="99"/>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Hyperlink" w:uiPriority="99"/>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pPr>
    <w:rPr>
      <w:rFonts w:eastAsia="標楷體"/>
      <w:kern w:val="2"/>
      <w:sz w:val="24"/>
      <w:szCs w:val="24"/>
    </w:rPr>
  </w:style>
  <w:style w:type="paragraph" w:styleId="1">
    <w:name w:val="heading 1"/>
    <w:basedOn w:val="a3"/>
    <w:next w:val="a3"/>
    <w:link w:val="10"/>
    <w:qFormat/>
    <w:pPr>
      <w:keepNext/>
      <w:spacing w:line="400" w:lineRule="exact"/>
      <w:outlineLvl w:val="0"/>
    </w:pPr>
    <w:rPr>
      <w:rFonts w:ascii="標楷體" w:hAnsi="標楷體"/>
      <w:b/>
      <w:color w:val="000000"/>
      <w:sz w:val="32"/>
      <w:szCs w:val="32"/>
    </w:rPr>
  </w:style>
  <w:style w:type="paragraph" w:styleId="2">
    <w:name w:val="heading 2"/>
    <w:basedOn w:val="a3"/>
    <w:next w:val="a3"/>
    <w:link w:val="20"/>
    <w:qFormat/>
    <w:pPr>
      <w:keepNext/>
      <w:spacing w:line="400" w:lineRule="exact"/>
      <w:outlineLvl w:val="1"/>
    </w:pPr>
    <w:rPr>
      <w:sz w:val="28"/>
      <w:szCs w:val="28"/>
      <w:lang w:val="zh-TW"/>
    </w:rPr>
  </w:style>
  <w:style w:type="paragraph" w:styleId="3">
    <w:name w:val="heading 3"/>
    <w:basedOn w:val="a3"/>
    <w:next w:val="a3"/>
    <w:link w:val="30"/>
    <w:qFormat/>
    <w:pPr>
      <w:keepNext/>
      <w:spacing w:line="400" w:lineRule="exact"/>
      <w:outlineLvl w:val="2"/>
    </w:pPr>
    <w:rPr>
      <w:bCs/>
      <w:color w:val="000000"/>
      <w:kern w:val="0"/>
      <w:sz w:val="28"/>
      <w:szCs w:val="36"/>
      <w:lang w:val="zh-TW"/>
    </w:rPr>
  </w:style>
  <w:style w:type="paragraph" w:styleId="4">
    <w:name w:val="heading 4"/>
    <w:basedOn w:val="a3"/>
    <w:next w:val="a3"/>
    <w:link w:val="40"/>
    <w:qFormat/>
    <w:pPr>
      <w:keepNext/>
      <w:spacing w:line="400" w:lineRule="exact"/>
      <w:jc w:val="both"/>
      <w:outlineLvl w:val="3"/>
    </w:pPr>
    <w:rPr>
      <w:kern w:val="0"/>
      <w:sz w:val="28"/>
      <w:szCs w:val="36"/>
      <w:lang w:val="zh-TW"/>
    </w:rPr>
  </w:style>
  <w:style w:type="paragraph" w:styleId="5">
    <w:name w:val="heading 5"/>
    <w:basedOn w:val="a3"/>
    <w:next w:val="a3"/>
    <w:link w:val="50"/>
    <w:qFormat/>
    <w:pPr>
      <w:keepNext/>
      <w:spacing w:line="400" w:lineRule="exact"/>
      <w:outlineLvl w:val="4"/>
    </w:pPr>
    <w:rPr>
      <w:rFonts w:ascii="Arial" w:hAnsi="Arial"/>
      <w:bCs/>
      <w:sz w:val="28"/>
      <w:szCs w:val="36"/>
    </w:rPr>
  </w:style>
  <w:style w:type="paragraph" w:styleId="6">
    <w:name w:val="heading 6"/>
    <w:basedOn w:val="a3"/>
    <w:next w:val="a3"/>
    <w:link w:val="60"/>
    <w:qFormat/>
    <w:pPr>
      <w:keepNext/>
      <w:spacing w:line="720" w:lineRule="auto"/>
      <w:ind w:leftChars="200" w:left="200"/>
      <w:outlineLvl w:val="5"/>
    </w:pPr>
    <w:rPr>
      <w:rFonts w:ascii="Arial" w:eastAsia="新細明體"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subject"/>
    <w:basedOn w:val="a8"/>
    <w:next w:val="a8"/>
    <w:link w:val="a9"/>
    <w:semiHidden/>
    <w:rPr>
      <w:b/>
      <w:bCs/>
    </w:rPr>
  </w:style>
  <w:style w:type="paragraph" w:styleId="a8">
    <w:name w:val="annotation text"/>
    <w:basedOn w:val="a3"/>
    <w:link w:val="aa"/>
    <w:semiHidden/>
  </w:style>
  <w:style w:type="paragraph" w:styleId="7">
    <w:name w:val="toc 7"/>
    <w:basedOn w:val="a3"/>
    <w:next w:val="a3"/>
    <w:uiPriority w:val="39"/>
    <w:pPr>
      <w:ind w:leftChars="1200" w:left="2880"/>
    </w:pPr>
  </w:style>
  <w:style w:type="paragraph" w:styleId="ab">
    <w:name w:val="Note Heading"/>
    <w:basedOn w:val="a3"/>
    <w:next w:val="a3"/>
    <w:link w:val="ac"/>
    <w:pPr>
      <w:jc w:val="center"/>
    </w:pPr>
    <w:rPr>
      <w:kern w:val="0"/>
    </w:rPr>
  </w:style>
  <w:style w:type="paragraph" w:styleId="ad">
    <w:name w:val="List Number"/>
    <w:basedOn w:val="a3"/>
    <w:pPr>
      <w:tabs>
        <w:tab w:val="left" w:pos="720"/>
      </w:tabs>
      <w:ind w:left="720" w:hanging="360"/>
    </w:pPr>
  </w:style>
  <w:style w:type="paragraph" w:styleId="ae">
    <w:name w:val="Salutation"/>
    <w:basedOn w:val="a3"/>
    <w:next w:val="a3"/>
    <w:link w:val="af"/>
    <w:rPr>
      <w:rFonts w:ascii="細明體" w:eastAsia="細明體" w:hAnsi="細明體"/>
      <w:color w:val="FF0000"/>
      <w:sz w:val="22"/>
    </w:rPr>
  </w:style>
  <w:style w:type="paragraph" w:styleId="31">
    <w:name w:val="Body Text 3"/>
    <w:basedOn w:val="a3"/>
    <w:link w:val="32"/>
    <w:pPr>
      <w:spacing w:after="120"/>
    </w:pPr>
    <w:rPr>
      <w:sz w:val="16"/>
      <w:szCs w:val="16"/>
    </w:rPr>
  </w:style>
  <w:style w:type="paragraph" w:styleId="af0">
    <w:name w:val="Closing"/>
    <w:basedOn w:val="a3"/>
    <w:link w:val="af1"/>
    <w:pPr>
      <w:ind w:leftChars="1800" w:left="100"/>
    </w:pPr>
    <w:rPr>
      <w:rFonts w:ascii="細明體" w:eastAsia="細明體" w:hAnsi="細明體"/>
      <w:color w:val="FF0000"/>
      <w:sz w:val="22"/>
    </w:rPr>
  </w:style>
  <w:style w:type="paragraph" w:styleId="af2">
    <w:name w:val="Body Text"/>
    <w:basedOn w:val="a3"/>
    <w:link w:val="af3"/>
    <w:pPr>
      <w:kinsoku w:val="0"/>
      <w:overflowPunct w:val="0"/>
      <w:autoSpaceDE w:val="0"/>
      <w:autoSpaceDN w:val="0"/>
    </w:pPr>
    <w:rPr>
      <w:rFonts w:ascii="標楷體"/>
      <w:kern w:val="0"/>
    </w:rPr>
  </w:style>
  <w:style w:type="paragraph" w:styleId="af4">
    <w:name w:val="Body Text Indent"/>
    <w:basedOn w:val="a3"/>
    <w:link w:val="af5"/>
    <w:pPr>
      <w:spacing w:after="120"/>
      <w:ind w:leftChars="200" w:left="480"/>
    </w:pPr>
  </w:style>
  <w:style w:type="paragraph" w:styleId="af6">
    <w:name w:val="Block Text"/>
    <w:basedOn w:val="a3"/>
    <w:pPr>
      <w:spacing w:line="0" w:lineRule="atLeast"/>
      <w:ind w:left="113" w:right="113"/>
      <w:jc w:val="both"/>
    </w:pPr>
    <w:rPr>
      <w:sz w:val="32"/>
    </w:rPr>
  </w:style>
  <w:style w:type="paragraph" w:styleId="51">
    <w:name w:val="toc 5"/>
    <w:basedOn w:val="a3"/>
    <w:next w:val="a3"/>
    <w:uiPriority w:val="39"/>
    <w:pPr>
      <w:ind w:leftChars="800" w:left="1920"/>
    </w:pPr>
  </w:style>
  <w:style w:type="paragraph" w:styleId="33">
    <w:name w:val="toc 3"/>
    <w:basedOn w:val="a3"/>
    <w:next w:val="a3"/>
    <w:uiPriority w:val="39"/>
    <w:pPr>
      <w:tabs>
        <w:tab w:val="right" w:leader="dot" w:pos="9628"/>
      </w:tabs>
      <w:ind w:leftChars="400" w:left="960"/>
    </w:pPr>
  </w:style>
  <w:style w:type="paragraph" w:styleId="af7">
    <w:name w:val="Plain Text"/>
    <w:basedOn w:val="a3"/>
    <w:link w:val="af8"/>
    <w:rPr>
      <w:rFonts w:ascii="細明體" w:eastAsia="細明體" w:hAnsi="Courier New"/>
      <w:szCs w:val="20"/>
    </w:rPr>
  </w:style>
  <w:style w:type="paragraph" w:styleId="8">
    <w:name w:val="toc 8"/>
    <w:basedOn w:val="a3"/>
    <w:next w:val="a3"/>
    <w:uiPriority w:val="39"/>
    <w:pPr>
      <w:ind w:leftChars="1400" w:left="3360"/>
    </w:pPr>
    <w:rPr>
      <w:rFonts w:eastAsia="新細明體"/>
    </w:rPr>
  </w:style>
  <w:style w:type="paragraph" w:styleId="af9">
    <w:name w:val="Date"/>
    <w:basedOn w:val="a3"/>
    <w:next w:val="a3"/>
    <w:link w:val="afa"/>
    <w:pPr>
      <w:jc w:val="right"/>
    </w:pPr>
  </w:style>
  <w:style w:type="paragraph" w:styleId="21">
    <w:name w:val="Body Text Indent 2"/>
    <w:basedOn w:val="a3"/>
    <w:link w:val="22"/>
    <w:pPr>
      <w:spacing w:after="120" w:line="480" w:lineRule="auto"/>
      <w:ind w:leftChars="200" w:left="480"/>
    </w:pPr>
    <w:rPr>
      <w:rFonts w:eastAsia="新細明體"/>
    </w:rPr>
  </w:style>
  <w:style w:type="paragraph" w:styleId="afb">
    <w:name w:val="Balloon Text"/>
    <w:basedOn w:val="a3"/>
    <w:link w:val="afc"/>
    <w:semiHidden/>
    <w:rPr>
      <w:rFonts w:ascii="Arial" w:hAnsi="Arial"/>
      <w:sz w:val="18"/>
      <w:szCs w:val="18"/>
    </w:rPr>
  </w:style>
  <w:style w:type="paragraph" w:styleId="afd">
    <w:name w:val="footer"/>
    <w:basedOn w:val="a3"/>
    <w:link w:val="afe"/>
    <w:uiPriority w:val="99"/>
    <w:pPr>
      <w:tabs>
        <w:tab w:val="center" w:pos="4153"/>
        <w:tab w:val="right" w:pos="8306"/>
      </w:tabs>
      <w:snapToGrid w:val="0"/>
    </w:pPr>
    <w:rPr>
      <w:sz w:val="20"/>
      <w:szCs w:val="20"/>
    </w:rPr>
  </w:style>
  <w:style w:type="paragraph" w:styleId="aff">
    <w:name w:val="header"/>
    <w:basedOn w:val="a3"/>
    <w:link w:val="aff0"/>
    <w:pPr>
      <w:tabs>
        <w:tab w:val="center" w:pos="4153"/>
        <w:tab w:val="right" w:pos="8306"/>
      </w:tabs>
      <w:snapToGrid w:val="0"/>
    </w:pPr>
    <w:rPr>
      <w:sz w:val="20"/>
      <w:szCs w:val="20"/>
    </w:rPr>
  </w:style>
  <w:style w:type="paragraph" w:styleId="11">
    <w:name w:val="toc 1"/>
    <w:basedOn w:val="a3"/>
    <w:next w:val="a3"/>
    <w:uiPriority w:val="39"/>
  </w:style>
  <w:style w:type="paragraph" w:styleId="41">
    <w:name w:val="toc 4"/>
    <w:basedOn w:val="a3"/>
    <w:next w:val="a3"/>
    <w:uiPriority w:val="39"/>
    <w:pPr>
      <w:tabs>
        <w:tab w:val="right" w:leader="dot" w:pos="9628"/>
      </w:tabs>
      <w:ind w:leftChars="600" w:left="1440"/>
    </w:pPr>
  </w:style>
  <w:style w:type="paragraph" w:styleId="aff1">
    <w:name w:val="footnote text"/>
    <w:basedOn w:val="a3"/>
    <w:link w:val="aff2"/>
    <w:semiHidden/>
    <w:pPr>
      <w:snapToGrid w:val="0"/>
    </w:pPr>
    <w:rPr>
      <w:rFonts w:eastAsia="新細明體"/>
      <w:sz w:val="20"/>
      <w:szCs w:val="20"/>
    </w:rPr>
  </w:style>
  <w:style w:type="paragraph" w:styleId="61">
    <w:name w:val="toc 6"/>
    <w:basedOn w:val="a3"/>
    <w:next w:val="a3"/>
    <w:uiPriority w:val="39"/>
    <w:pPr>
      <w:ind w:leftChars="1000" w:left="2400"/>
    </w:pPr>
    <w:rPr>
      <w:rFonts w:eastAsia="新細明體"/>
    </w:rPr>
  </w:style>
  <w:style w:type="paragraph" w:styleId="34">
    <w:name w:val="Body Text Indent 3"/>
    <w:basedOn w:val="a3"/>
    <w:link w:val="35"/>
    <w:pPr>
      <w:spacing w:after="120"/>
      <w:ind w:leftChars="200" w:left="480"/>
    </w:pPr>
    <w:rPr>
      <w:sz w:val="16"/>
      <w:szCs w:val="16"/>
    </w:rPr>
  </w:style>
  <w:style w:type="paragraph" w:styleId="23">
    <w:name w:val="toc 2"/>
    <w:basedOn w:val="a3"/>
    <w:next w:val="a3"/>
    <w:uiPriority w:val="39"/>
    <w:pPr>
      <w:tabs>
        <w:tab w:val="right" w:leader="dot" w:pos="9628"/>
      </w:tabs>
      <w:ind w:leftChars="200" w:left="480"/>
    </w:pPr>
  </w:style>
  <w:style w:type="paragraph" w:styleId="9">
    <w:name w:val="toc 9"/>
    <w:basedOn w:val="a3"/>
    <w:next w:val="a3"/>
    <w:uiPriority w:val="39"/>
    <w:pPr>
      <w:ind w:leftChars="1600" w:left="3840"/>
    </w:pPr>
    <w:rPr>
      <w:rFonts w:eastAsia="新細明體"/>
    </w:rPr>
  </w:style>
  <w:style w:type="paragraph" w:styleId="24">
    <w:name w:val="Body Text 2"/>
    <w:basedOn w:val="a3"/>
    <w:link w:val="25"/>
    <w:pPr>
      <w:spacing w:after="120" w:line="480" w:lineRule="auto"/>
    </w:pPr>
  </w:style>
  <w:style w:type="paragraph" w:styleId="42">
    <w:name w:val="List 4"/>
    <w:basedOn w:val="a3"/>
    <w:pPr>
      <w:ind w:leftChars="800" w:left="100" w:hangingChars="200" w:hanging="200"/>
    </w:pPr>
  </w:style>
  <w:style w:type="paragraph" w:styleId="HTML">
    <w:name w:val="HTML Preformatted"/>
    <w:basedOn w:val="a3"/>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Web">
    <w:name w:val="Normal (Web)"/>
    <w:basedOn w:val="a3"/>
    <w:pPr>
      <w:widowControl/>
      <w:spacing w:before="100" w:beforeAutospacing="1" w:after="100" w:afterAutospacing="1"/>
    </w:pPr>
    <w:rPr>
      <w:rFonts w:ascii="新細明體" w:eastAsia="新細明體" w:hAnsi="新細明體" w:cs="新細明體"/>
      <w:color w:val="000000"/>
      <w:kern w:val="0"/>
    </w:rPr>
  </w:style>
  <w:style w:type="paragraph" w:styleId="aff3">
    <w:name w:val="Title"/>
    <w:basedOn w:val="a3"/>
    <w:link w:val="aff4"/>
    <w:qFormat/>
    <w:pPr>
      <w:spacing w:before="240" w:after="60"/>
      <w:jc w:val="center"/>
      <w:outlineLvl w:val="0"/>
    </w:pPr>
    <w:rPr>
      <w:rFonts w:ascii="Arial" w:hAnsi="Arial" w:cs="Arial"/>
      <w:b/>
      <w:bCs/>
      <w:sz w:val="32"/>
      <w:szCs w:val="32"/>
    </w:rPr>
  </w:style>
  <w:style w:type="character" w:styleId="aff5">
    <w:name w:val="Strong"/>
    <w:qFormat/>
    <w:rPr>
      <w:b/>
      <w:bCs/>
    </w:rPr>
  </w:style>
  <w:style w:type="character" w:styleId="aff6">
    <w:name w:val="page number"/>
    <w:basedOn w:val="a4"/>
  </w:style>
  <w:style w:type="character" w:styleId="aff7">
    <w:name w:val="FollowedHyperlink"/>
    <w:rPr>
      <w:color w:val="800080"/>
      <w:u w:val="single"/>
    </w:rPr>
  </w:style>
  <w:style w:type="character" w:styleId="aff8">
    <w:name w:val="Emphasis"/>
    <w:qFormat/>
    <w:rPr>
      <w:i/>
      <w:iCs/>
    </w:rPr>
  </w:style>
  <w:style w:type="character" w:styleId="aff9">
    <w:name w:val="Hyperlink"/>
    <w:uiPriority w:val="99"/>
    <w:rPr>
      <w:color w:val="0000FF"/>
      <w:u w:val="single"/>
    </w:rPr>
  </w:style>
  <w:style w:type="character" w:styleId="affa">
    <w:name w:val="annotation reference"/>
    <w:semiHidden/>
    <w:rPr>
      <w:sz w:val="18"/>
      <w:szCs w:val="18"/>
    </w:rPr>
  </w:style>
  <w:style w:type="character" w:styleId="affb">
    <w:name w:val="footnote reference"/>
    <w:semiHidden/>
    <w:rPr>
      <w:vertAlign w:val="superscript"/>
    </w:rPr>
  </w:style>
  <w:style w:type="paragraph" w:customStyle="1" w:styleId="410">
    <w:name w:val="本文4_1"/>
    <w:basedOn w:val="a3"/>
    <w:pPr>
      <w:spacing w:line="240" w:lineRule="atLeast"/>
      <w:ind w:leftChars="400" w:left="1200" w:hangingChars="100" w:hanging="240"/>
      <w:jc w:val="both"/>
      <w:outlineLvl w:val="3"/>
    </w:pPr>
    <w:rPr>
      <w:rFonts w:ascii="標楷體" w:hAnsi="標楷體"/>
      <w:color w:val="000000"/>
      <w:kern w:val="52"/>
      <w:szCs w:val="20"/>
    </w:rPr>
  </w:style>
  <w:style w:type="paragraph" w:customStyle="1" w:styleId="12">
    <w:name w:val="樣式1"/>
    <w:basedOn w:val="a3"/>
    <w:pPr>
      <w:spacing w:line="240" w:lineRule="atLeast"/>
      <w:ind w:left="154" w:hangingChars="64" w:hanging="154"/>
    </w:pPr>
    <w:rPr>
      <w:rFonts w:ascii="新細明體" w:hAnsi="新細明體"/>
      <w:color w:val="000000"/>
    </w:rPr>
  </w:style>
  <w:style w:type="paragraph" w:customStyle="1" w:styleId="80">
    <w:name w:val="樣式8"/>
    <w:basedOn w:val="a3"/>
    <w:pPr>
      <w:tabs>
        <w:tab w:val="left" w:pos="255"/>
      </w:tabs>
      <w:adjustRightInd w:val="0"/>
      <w:spacing w:line="240" w:lineRule="atLeast"/>
      <w:ind w:left="240" w:hangingChars="100" w:hanging="240"/>
      <w:textAlignment w:val="baseline"/>
    </w:pPr>
    <w:rPr>
      <w:rFonts w:ascii="標楷體" w:hAnsi="Comic Sans MS"/>
      <w:kern w:val="0"/>
      <w:szCs w:val="20"/>
    </w:rPr>
  </w:style>
  <w:style w:type="paragraph" w:customStyle="1" w:styleId="13">
    <w:name w:val="純文字1"/>
    <w:basedOn w:val="a3"/>
    <w:pPr>
      <w:adjustRightInd w:val="0"/>
      <w:textAlignment w:val="baseline"/>
    </w:pPr>
    <w:rPr>
      <w:rFonts w:ascii="細明體" w:eastAsia="細明體" w:hAnsi="Courier New"/>
      <w:szCs w:val="20"/>
    </w:rPr>
  </w:style>
  <w:style w:type="paragraph" w:customStyle="1" w:styleId="26">
    <w:name w:val="內文2"/>
    <w:basedOn w:val="a3"/>
    <w:pPr>
      <w:spacing w:line="480" w:lineRule="atLeast"/>
      <w:ind w:left="953"/>
      <w:jc w:val="both"/>
      <w:textAlignment w:val="center"/>
    </w:pPr>
    <w:rPr>
      <w:rFonts w:ascii="文新字海-粗楷" w:eastAsia="文新字海-粗楷" w:hAnsi="CG Times (W1)"/>
      <w:kern w:val="0"/>
      <w:sz w:val="26"/>
      <w:szCs w:val="20"/>
    </w:rPr>
  </w:style>
  <w:style w:type="paragraph" w:customStyle="1" w:styleId="affc">
    <w:name w:val="章節"/>
    <w:pPr>
      <w:widowControl w:val="0"/>
      <w:adjustRightInd w:val="0"/>
      <w:spacing w:line="320" w:lineRule="atLeast"/>
      <w:jc w:val="center"/>
      <w:textAlignment w:val="baseline"/>
    </w:pPr>
    <w:rPr>
      <w:rFonts w:ascii="Arial" w:eastAsia="文新字海-超明" w:hAnsi="Arial"/>
      <w:sz w:val="30"/>
      <w:lang w:eastAsia="zh-CN"/>
    </w:rPr>
  </w:style>
  <w:style w:type="paragraph" w:customStyle="1" w:styleId="affd">
    <w:name w:val="主旨"/>
    <w:basedOn w:val="a3"/>
    <w:pPr>
      <w:snapToGrid w:val="0"/>
      <w:ind w:left="964" w:hanging="964"/>
      <w:jc w:val="both"/>
    </w:pPr>
    <w:rPr>
      <w:sz w:val="32"/>
      <w:szCs w:val="20"/>
    </w:rPr>
  </w:style>
  <w:style w:type="paragraph" w:customStyle="1" w:styleId="27">
    <w:name w:val="樣式2"/>
    <w:basedOn w:val="12"/>
    <w:pPr>
      <w:autoSpaceDE w:val="0"/>
      <w:autoSpaceDN w:val="0"/>
      <w:adjustRightInd w:val="0"/>
      <w:spacing w:line="240" w:lineRule="auto"/>
      <w:ind w:leftChars="199" w:left="720" w:hangingChars="101" w:hanging="242"/>
    </w:pPr>
    <w:rPr>
      <w:rFonts w:ascii="標楷體" w:hAnsi="Comic Sans MS"/>
      <w:color w:val="auto"/>
      <w:kern w:val="0"/>
      <w:szCs w:val="20"/>
    </w:rPr>
  </w:style>
  <w:style w:type="paragraph" w:customStyle="1" w:styleId="36">
    <w:name w:val="樣式3"/>
    <w:basedOn w:val="27"/>
    <w:pPr>
      <w:ind w:leftChars="500" w:left="1680" w:hangingChars="200" w:hanging="480"/>
    </w:pPr>
    <w:rPr>
      <w:rFonts w:cs="Arial"/>
    </w:rPr>
  </w:style>
  <w:style w:type="paragraph" w:customStyle="1" w:styleId="62">
    <w:name w:val="樣式6"/>
    <w:basedOn w:val="a3"/>
    <w:pPr>
      <w:adjustRightInd w:val="0"/>
      <w:spacing w:line="400" w:lineRule="exact"/>
      <w:ind w:leftChars="100" w:left="240"/>
      <w:textAlignment w:val="baseline"/>
    </w:pPr>
    <w:rPr>
      <w:rFonts w:ascii="標楷體" w:hAnsi="Comic Sans MS"/>
      <w:kern w:val="0"/>
      <w:szCs w:val="20"/>
    </w:rPr>
  </w:style>
  <w:style w:type="paragraph" w:customStyle="1" w:styleId="210">
    <w:name w:val="本文2_1"/>
    <w:basedOn w:val="a3"/>
    <w:pPr>
      <w:tabs>
        <w:tab w:val="left" w:pos="1985"/>
      </w:tabs>
      <w:spacing w:line="240" w:lineRule="atLeast"/>
      <w:ind w:firstLineChars="180" w:firstLine="432"/>
      <w:outlineLvl w:val="1"/>
    </w:pPr>
    <w:rPr>
      <w:rFonts w:ascii="標楷體" w:hAnsi="標楷體" w:cs="新細明體"/>
      <w:color w:val="000000"/>
    </w:rPr>
  </w:style>
  <w:style w:type="paragraph" w:customStyle="1" w:styleId="affe">
    <w:name w:val="第一條"/>
    <w:basedOn w:val="a3"/>
    <w:pPr>
      <w:kinsoku w:val="0"/>
      <w:wordWrap w:val="0"/>
      <w:overflowPunct w:val="0"/>
      <w:autoSpaceDE w:val="0"/>
      <w:autoSpaceDN w:val="0"/>
      <w:adjustRightInd w:val="0"/>
      <w:ind w:left="567" w:hanging="567"/>
      <w:textAlignment w:val="baseline"/>
    </w:pPr>
    <w:rPr>
      <w:rFonts w:eastAsia="華康楷書體W5"/>
      <w:kern w:val="0"/>
      <w:sz w:val="28"/>
      <w:szCs w:val="20"/>
    </w:rPr>
  </w:style>
  <w:style w:type="paragraph" w:customStyle="1" w:styleId="310">
    <w:name w:val="本文3_1"/>
    <w:basedOn w:val="a3"/>
    <w:pPr>
      <w:tabs>
        <w:tab w:val="left" w:pos="2127"/>
      </w:tabs>
      <w:adjustRightInd w:val="0"/>
      <w:snapToGrid w:val="0"/>
      <w:spacing w:line="240" w:lineRule="atLeast"/>
      <w:ind w:leftChars="250" w:left="600"/>
      <w:outlineLvl w:val="2"/>
    </w:pPr>
    <w:rPr>
      <w:rFonts w:ascii="標楷體" w:hAnsi="標楷體" w:cs="標楷體"/>
      <w:color w:val="FF0000"/>
    </w:rPr>
  </w:style>
  <w:style w:type="paragraph" w:customStyle="1" w:styleId="afff">
    <w:name w:val="本文卷處理方式"/>
    <w:basedOn w:val="a3"/>
    <w:pPr>
      <w:spacing w:line="320" w:lineRule="exact"/>
    </w:pPr>
    <w:rPr>
      <w:sz w:val="32"/>
      <w:szCs w:val="20"/>
    </w:rPr>
  </w:style>
  <w:style w:type="paragraph" w:customStyle="1" w:styleId="afff0">
    <w:name w:val="一、"/>
    <w:basedOn w:val="a3"/>
    <w:link w:val="afff1"/>
    <w:pPr>
      <w:ind w:leftChars="400" w:left="600" w:hangingChars="200" w:hanging="200"/>
    </w:pPr>
    <w:rPr>
      <w:rFonts w:ascii="標楷體" w:cs="新細明體"/>
      <w:color w:val="000000"/>
      <w:szCs w:val="20"/>
    </w:rPr>
  </w:style>
  <w:style w:type="paragraph" w:customStyle="1" w:styleId="14">
    <w:name w:val="1"/>
    <w:basedOn w:val="a3"/>
    <w:pPr>
      <w:ind w:left="100" w:hangingChars="100" w:hanging="100"/>
    </w:pPr>
    <w:rPr>
      <w:rFonts w:ascii="標楷體" w:hAnsi="標楷體" w:cs="新細明體"/>
      <w:szCs w:val="20"/>
    </w:rPr>
  </w:style>
  <w:style w:type="paragraph" w:customStyle="1" w:styleId="1195">
    <w:name w:val="樣式 一、 + 左:  1 字元 凸出:  1.95 字元"/>
    <w:basedOn w:val="afff0"/>
  </w:style>
  <w:style w:type="paragraph" w:customStyle="1" w:styleId="afff2">
    <w:name w:val="項"/>
    <w:basedOn w:val="afff0"/>
    <w:pPr>
      <w:ind w:leftChars="200" w:left="200" w:firstLineChars="200" w:firstLine="200"/>
    </w:pPr>
  </w:style>
  <w:style w:type="paragraph" w:customStyle="1" w:styleId="17">
    <w:name w:val="樣式17"/>
    <w:basedOn w:val="a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0">
    <w:name w:val="樣式27"/>
    <w:basedOn w:val="a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0">
    <w:name w:val="樣式0"/>
    <w:basedOn w:val="a3"/>
    <w:pPr>
      <w:tabs>
        <w:tab w:val="center" w:pos="4153"/>
        <w:tab w:val="right" w:pos="8306"/>
      </w:tabs>
      <w:snapToGrid w:val="0"/>
      <w:ind w:left="600"/>
    </w:pPr>
    <w:rPr>
      <w:snapToGrid w:val="0"/>
      <w:kern w:val="0"/>
      <w:sz w:val="20"/>
      <w:szCs w:val="20"/>
    </w:rPr>
  </w:style>
  <w:style w:type="paragraph" w:customStyle="1" w:styleId="15">
    <w:name w:val="內文 1"/>
    <w:basedOn w:val="a3"/>
    <w:link w:val="16"/>
    <w:rPr>
      <w:rFonts w:ascii="標楷體" w:hAnsi="標楷體"/>
    </w:rPr>
  </w:style>
  <w:style w:type="paragraph" w:customStyle="1" w:styleId="18">
    <w:name w:val="本文1"/>
    <w:basedOn w:val="ad"/>
    <w:next w:val="af2"/>
    <w:link w:val="19"/>
    <w:pPr>
      <w:tabs>
        <w:tab w:val="clear" w:pos="720"/>
      </w:tabs>
      <w:kinsoku w:val="0"/>
      <w:overflowPunct w:val="0"/>
      <w:autoSpaceDE w:val="0"/>
      <w:autoSpaceDN w:val="0"/>
      <w:adjustRightInd w:val="0"/>
      <w:snapToGrid w:val="0"/>
      <w:spacing w:line="240" w:lineRule="atLeast"/>
      <w:ind w:leftChars="-42" w:left="545" w:hangingChars="269" w:hanging="646"/>
      <w:jc w:val="both"/>
      <w:outlineLvl w:val="0"/>
    </w:pPr>
    <w:rPr>
      <w:rFonts w:ascii="標楷體" w:hAnsi="標楷體"/>
      <w:kern w:val="0"/>
    </w:rPr>
  </w:style>
  <w:style w:type="paragraph" w:customStyle="1" w:styleId="70">
    <w:name w:val="樣式7"/>
    <w:basedOn w:val="27"/>
    <w:pPr>
      <w:kinsoku w:val="0"/>
      <w:spacing w:line="360" w:lineRule="exact"/>
      <w:ind w:leftChars="0" w:left="1361" w:firstLineChars="0" w:hanging="1361"/>
      <w:textAlignment w:val="baseline"/>
    </w:pPr>
    <w:rPr>
      <w:rFonts w:ascii="Times New Roman" w:eastAsia="全真楷書" w:hAnsi="Times New Roman"/>
      <w:spacing w:val="14"/>
    </w:rPr>
  </w:style>
  <w:style w:type="paragraph" w:customStyle="1" w:styleId="afff3">
    <w:name w:val="密等"/>
    <w:basedOn w:val="a3"/>
    <w:pPr>
      <w:snapToGrid w:val="0"/>
      <w:spacing w:line="300" w:lineRule="exact"/>
    </w:pPr>
    <w:rPr>
      <w:szCs w:val="20"/>
    </w:rPr>
  </w:style>
  <w:style w:type="paragraph" w:customStyle="1" w:styleId="afff4">
    <w:name w:val="速別"/>
    <w:basedOn w:val="a3"/>
    <w:pPr>
      <w:snapToGrid w:val="0"/>
      <w:spacing w:line="300" w:lineRule="exact"/>
    </w:pPr>
    <w:rPr>
      <w:szCs w:val="20"/>
    </w:rPr>
  </w:style>
  <w:style w:type="paragraph" w:customStyle="1" w:styleId="afff5">
    <w:name w:val="機關名稱"/>
    <w:basedOn w:val="a3"/>
    <w:pPr>
      <w:snapToGrid w:val="0"/>
      <w:spacing w:line="500" w:lineRule="exact"/>
      <w:jc w:val="center"/>
    </w:pPr>
    <w:rPr>
      <w:sz w:val="44"/>
      <w:szCs w:val="20"/>
    </w:rPr>
  </w:style>
  <w:style w:type="paragraph" w:customStyle="1" w:styleId="afff6">
    <w:name w:val="正本"/>
    <w:basedOn w:val="a3"/>
    <w:pPr>
      <w:snapToGrid w:val="0"/>
      <w:spacing w:beforeLines="50" w:line="300" w:lineRule="exact"/>
      <w:ind w:left="300" w:hangingChars="300" w:hanging="300"/>
    </w:pPr>
    <w:rPr>
      <w:szCs w:val="20"/>
    </w:rPr>
  </w:style>
  <w:style w:type="paragraph" w:customStyle="1" w:styleId="afff7">
    <w:name w:val="發文日期"/>
    <w:basedOn w:val="afff3"/>
  </w:style>
  <w:style w:type="paragraph" w:customStyle="1" w:styleId="afff8">
    <w:name w:val="發文字號"/>
    <w:basedOn w:val="a3"/>
    <w:pPr>
      <w:snapToGrid w:val="0"/>
      <w:spacing w:line="300" w:lineRule="exact"/>
    </w:pPr>
    <w:rPr>
      <w:szCs w:val="20"/>
    </w:rPr>
  </w:style>
  <w:style w:type="paragraph" w:customStyle="1" w:styleId="afff9">
    <w:name w:val="附件"/>
    <w:basedOn w:val="a3"/>
    <w:pPr>
      <w:snapToGrid w:val="0"/>
      <w:spacing w:afterLines="50" w:line="300" w:lineRule="exact"/>
    </w:pPr>
    <w:rPr>
      <w:szCs w:val="20"/>
    </w:rPr>
  </w:style>
  <w:style w:type="paragraph" w:customStyle="1" w:styleId="a">
    <w:name w:val="分項段落"/>
    <w:basedOn w:val="a3"/>
    <w:pPr>
      <w:widowControl/>
      <w:numPr>
        <w:numId w:val="1"/>
      </w:numPr>
      <w:wordWrap w:val="0"/>
      <w:snapToGrid w:val="0"/>
      <w:spacing w:line="500" w:lineRule="exact"/>
      <w:jc w:val="both"/>
      <w:textAlignment w:val="baseline"/>
    </w:pPr>
    <w:rPr>
      <w:kern w:val="0"/>
      <w:sz w:val="32"/>
      <w:szCs w:val="20"/>
    </w:rPr>
  </w:style>
  <w:style w:type="paragraph" w:customStyle="1" w:styleId="afffa">
    <w:name w:val="說明辦法首行"/>
    <w:basedOn w:val="a3"/>
    <w:pPr>
      <w:kinsoku w:val="0"/>
      <w:adjustRightInd w:val="0"/>
      <w:snapToGrid w:val="0"/>
      <w:spacing w:line="500" w:lineRule="exact"/>
      <w:ind w:left="300" w:hangingChars="300" w:hanging="300"/>
      <w:jc w:val="both"/>
    </w:pPr>
    <w:rPr>
      <w:sz w:val="32"/>
      <w:szCs w:val="20"/>
    </w:rPr>
  </w:style>
  <w:style w:type="paragraph" w:customStyle="1" w:styleId="afffb">
    <w:name w:val="首長"/>
    <w:basedOn w:val="affd"/>
    <w:pPr>
      <w:ind w:left="0" w:firstLine="0"/>
    </w:pPr>
  </w:style>
  <w:style w:type="paragraph" w:customStyle="1" w:styleId="afffc">
    <w:name w:val="副本"/>
    <w:basedOn w:val="a3"/>
    <w:pPr>
      <w:snapToGrid w:val="0"/>
      <w:spacing w:afterLines="50" w:line="300" w:lineRule="exact"/>
      <w:ind w:left="300" w:hangingChars="300" w:hanging="300"/>
    </w:pPr>
    <w:rPr>
      <w:szCs w:val="20"/>
    </w:rPr>
  </w:style>
  <w:style w:type="paragraph" w:customStyle="1" w:styleId="afffd">
    <w:name w:val="受文者"/>
    <w:basedOn w:val="a3"/>
    <w:pPr>
      <w:snapToGrid w:val="0"/>
      <w:spacing w:afterLines="50"/>
      <w:ind w:left="400" w:rightChars="1900" w:right="1900" w:hangingChars="400" w:hanging="400"/>
    </w:pPr>
    <w:rPr>
      <w:sz w:val="32"/>
      <w:szCs w:val="20"/>
    </w:rPr>
  </w:style>
  <w:style w:type="paragraph" w:customStyle="1" w:styleId="afffe">
    <w:name w:val="開會事由"/>
    <w:basedOn w:val="affd"/>
    <w:pPr>
      <w:spacing w:line="500" w:lineRule="exact"/>
      <w:ind w:left="1809" w:hanging="1809"/>
    </w:pPr>
    <w:rPr>
      <w:sz w:val="36"/>
    </w:rPr>
  </w:style>
  <w:style w:type="paragraph" w:customStyle="1" w:styleId="affff">
    <w:name w:val="出席者"/>
    <w:basedOn w:val="a3"/>
    <w:pPr>
      <w:snapToGrid w:val="0"/>
      <w:spacing w:line="400" w:lineRule="exact"/>
      <w:ind w:left="1117" w:hanging="1117"/>
      <w:jc w:val="both"/>
    </w:pPr>
    <w:rPr>
      <w:sz w:val="28"/>
      <w:szCs w:val="20"/>
    </w:rPr>
  </w:style>
  <w:style w:type="paragraph" w:customStyle="1" w:styleId="affff0">
    <w:name w:val="列席者"/>
    <w:basedOn w:val="a3"/>
    <w:pPr>
      <w:snapToGrid w:val="0"/>
      <w:spacing w:line="400" w:lineRule="exact"/>
      <w:ind w:left="1117" w:hanging="1117"/>
      <w:jc w:val="both"/>
    </w:pPr>
    <w:rPr>
      <w:sz w:val="28"/>
      <w:szCs w:val="20"/>
    </w:rPr>
  </w:style>
  <w:style w:type="paragraph" w:customStyle="1" w:styleId="affff1">
    <w:name w:val="正副本"/>
    <w:basedOn w:val="a3"/>
    <w:pPr>
      <w:snapToGrid w:val="0"/>
      <w:spacing w:line="280" w:lineRule="exact"/>
      <w:ind w:left="726" w:hanging="726"/>
      <w:jc w:val="both"/>
    </w:pPr>
    <w:rPr>
      <w:szCs w:val="20"/>
    </w:rPr>
  </w:style>
  <w:style w:type="paragraph" w:customStyle="1" w:styleId="52">
    <w:name w:val="樣式5"/>
    <w:basedOn w:val="a3"/>
    <w:pPr>
      <w:tabs>
        <w:tab w:val="left" w:pos="540"/>
        <w:tab w:val="left" w:pos="1395"/>
      </w:tabs>
      <w:kinsoku w:val="0"/>
      <w:overflowPunct w:val="0"/>
      <w:autoSpaceDE w:val="0"/>
      <w:autoSpaceDN w:val="0"/>
      <w:adjustRightInd w:val="0"/>
      <w:snapToGrid w:val="0"/>
      <w:spacing w:line="240" w:lineRule="atLeast"/>
      <w:ind w:leftChars="200" w:left="720" w:hangingChars="100" w:hanging="240"/>
      <w:jc w:val="both"/>
      <w:textAlignment w:val="baseline"/>
    </w:pPr>
    <w:rPr>
      <w:rFonts w:ascii="細明體" w:eastAsia="細明體" w:hAnsi="細明體"/>
      <w:color w:val="000000"/>
      <w:kern w:val="0"/>
    </w:rPr>
  </w:style>
  <w:style w:type="paragraph" w:customStyle="1" w:styleId="a0">
    <w:name w:val="一"/>
    <w:basedOn w:val="a3"/>
    <w:pPr>
      <w:numPr>
        <w:numId w:val="2"/>
      </w:numPr>
      <w:tabs>
        <w:tab w:val="left" w:pos="512"/>
        <w:tab w:val="left" w:pos="1052"/>
      </w:tabs>
      <w:spacing w:line="500" w:lineRule="exact"/>
      <w:jc w:val="both"/>
    </w:pPr>
    <w:rPr>
      <w:rFonts w:ascii="標楷體"/>
      <w:color w:val="000000"/>
      <w:sz w:val="32"/>
      <w:szCs w:val="20"/>
    </w:rPr>
  </w:style>
  <w:style w:type="paragraph" w:customStyle="1" w:styleId="a1">
    <w:name w:val="﹙一﹚"/>
    <w:basedOn w:val="a3"/>
    <w:pPr>
      <w:numPr>
        <w:ilvl w:val="1"/>
        <w:numId w:val="2"/>
      </w:numPr>
      <w:tabs>
        <w:tab w:val="left" w:pos="722"/>
      </w:tabs>
      <w:spacing w:line="500" w:lineRule="exact"/>
      <w:jc w:val="both"/>
    </w:pPr>
    <w:rPr>
      <w:rFonts w:ascii="標楷體"/>
      <w:bCs/>
      <w:sz w:val="32"/>
      <w:szCs w:val="20"/>
    </w:rPr>
  </w:style>
  <w:style w:type="paragraph" w:customStyle="1" w:styleId="affff2">
    <w:name w:val="十二"/>
    <w:basedOn w:val="a0"/>
    <w:pPr>
      <w:tabs>
        <w:tab w:val="clear" w:pos="512"/>
        <w:tab w:val="clear" w:pos="722"/>
        <w:tab w:val="clear" w:pos="1052"/>
        <w:tab w:val="left" w:pos="1080"/>
      </w:tabs>
      <w:ind w:left="1077" w:hanging="1077"/>
    </w:pPr>
  </w:style>
  <w:style w:type="paragraph" w:customStyle="1" w:styleId="nonumber">
    <w:name w:val="一no number"/>
    <w:basedOn w:val="a3"/>
    <w:pPr>
      <w:spacing w:line="500" w:lineRule="exact"/>
      <w:ind w:left="720"/>
      <w:jc w:val="both"/>
    </w:pPr>
    <w:rPr>
      <w:rFonts w:ascii="標楷體"/>
      <w:sz w:val="32"/>
      <w:szCs w:val="20"/>
    </w:rPr>
  </w:style>
  <w:style w:type="paragraph" w:customStyle="1" w:styleId="28">
    <w:name w:val="本文2"/>
    <w:basedOn w:val="a3"/>
    <w:pPr>
      <w:tabs>
        <w:tab w:val="left" w:pos="720"/>
      </w:tabs>
      <w:adjustRightInd w:val="0"/>
      <w:snapToGrid w:val="0"/>
      <w:spacing w:line="240" w:lineRule="atLeast"/>
      <w:ind w:leftChars="450" w:left="1512" w:hangingChars="180" w:hanging="432"/>
      <w:outlineLvl w:val="1"/>
    </w:pPr>
    <w:rPr>
      <w:rFonts w:ascii="新細明體" w:eastAsia="新細明體" w:hAnsi="新細明體"/>
      <w:color w:val="0000FF"/>
      <w:kern w:val="0"/>
    </w:rPr>
  </w:style>
  <w:style w:type="paragraph" w:customStyle="1" w:styleId="211">
    <w:name w:val="本文2_1_1"/>
    <w:basedOn w:val="a3"/>
    <w:link w:val="2110"/>
    <w:pPr>
      <w:tabs>
        <w:tab w:val="left" w:pos="720"/>
        <w:tab w:val="left" w:pos="1985"/>
        <w:tab w:val="left" w:pos="2626"/>
      </w:tabs>
      <w:adjustRightInd w:val="0"/>
      <w:snapToGrid w:val="0"/>
      <w:spacing w:line="300" w:lineRule="exact"/>
      <w:ind w:leftChars="399" w:left="1318" w:hangingChars="150" w:hanging="360"/>
      <w:jc w:val="both"/>
      <w:outlineLvl w:val="1"/>
    </w:pPr>
    <w:rPr>
      <w:rFonts w:ascii="新細明體" w:eastAsia="新細明體" w:hAnsi="新細明體"/>
      <w:b/>
      <w:strike/>
      <w:kern w:val="0"/>
    </w:rPr>
  </w:style>
  <w:style w:type="paragraph" w:customStyle="1" w:styleId="a2">
    <w:name w:val="標題一"/>
    <w:basedOn w:val="a3"/>
    <w:pPr>
      <w:numPr>
        <w:numId w:val="3"/>
      </w:num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before="60" w:after="60"/>
      <w:ind w:right="6"/>
      <w:jc w:val="both"/>
      <w:textAlignment w:val="bottom"/>
    </w:pPr>
    <w:rPr>
      <w:rFonts w:ascii="標楷體"/>
      <w:sz w:val="28"/>
      <w:szCs w:val="20"/>
    </w:rPr>
  </w:style>
  <w:style w:type="paragraph" w:customStyle="1" w:styleId="a40">
    <w:name w:val="a4"/>
    <w:basedOn w:val="a3"/>
    <w:pPr>
      <w:widowControl/>
      <w:spacing w:before="100" w:beforeAutospacing="1" w:after="100" w:afterAutospacing="1"/>
    </w:pPr>
    <w:rPr>
      <w:rFonts w:ascii="Arial Unicode MS" w:eastAsia="Arial Unicode MS" w:hAnsi="Arial Unicode MS" w:cs="Arial Unicode MS"/>
      <w:color w:val="000000"/>
      <w:kern w:val="0"/>
    </w:rPr>
  </w:style>
  <w:style w:type="paragraph" w:customStyle="1" w:styleId="affff3">
    <w:name w:val="擬辦"/>
    <w:basedOn w:val="affd"/>
    <w:pPr>
      <w:spacing w:line="500" w:lineRule="exact"/>
      <w:ind w:left="300" w:hangingChars="300" w:hanging="300"/>
    </w:pPr>
  </w:style>
  <w:style w:type="paragraph" w:customStyle="1" w:styleId="Default">
    <w:name w:val="Default"/>
    <w:pPr>
      <w:widowControl w:val="0"/>
      <w:autoSpaceDE w:val="0"/>
      <w:autoSpaceDN w:val="0"/>
      <w:adjustRightInd w:val="0"/>
    </w:pPr>
    <w:rPr>
      <w:rFonts w:ascii="big 5" w:eastAsia="big 5" w:cs="big 5"/>
      <w:color w:val="000000"/>
      <w:szCs w:val="24"/>
      <w:lang w:eastAsia="zh-CN"/>
    </w:rPr>
  </w:style>
  <w:style w:type="paragraph" w:customStyle="1" w:styleId="1a">
    <w:name w:val="修訂1"/>
    <w:hidden/>
    <w:uiPriority w:val="99"/>
    <w:semiHidden/>
    <w:rPr>
      <w:rFonts w:eastAsia="標楷體"/>
      <w:szCs w:val="24"/>
      <w:lang w:eastAsia="zh-CN"/>
    </w:rPr>
  </w:style>
  <w:style w:type="paragraph" w:customStyle="1" w:styleId="affff4">
    <w:name w:val="表格一"/>
    <w:basedOn w:val="a3"/>
    <w:pPr>
      <w:shd w:val="clear" w:color="auto" w:fill="FFFFFF"/>
      <w:kinsoku w:val="0"/>
      <w:overflowPunct w:val="0"/>
      <w:autoSpaceDE w:val="0"/>
      <w:autoSpaceDN w:val="0"/>
      <w:adjustRightInd w:val="0"/>
      <w:snapToGrid w:val="0"/>
      <w:jc w:val="both"/>
    </w:pPr>
    <w:rPr>
      <w:rFonts w:ascii="標楷體" w:hAnsi="標楷體"/>
      <w:color w:val="FF0000"/>
      <w:kern w:val="0"/>
    </w:rPr>
  </w:style>
  <w:style w:type="paragraph" w:customStyle="1" w:styleId="110">
    <w:name w:val="純文字11"/>
    <w:basedOn w:val="a3"/>
    <w:pPr>
      <w:adjustRightInd w:val="0"/>
      <w:textAlignment w:val="baseline"/>
    </w:pPr>
    <w:rPr>
      <w:rFonts w:ascii="細明體" w:eastAsia="細明體" w:hAnsi="Courier New"/>
      <w:szCs w:val="20"/>
    </w:rPr>
  </w:style>
  <w:style w:type="paragraph" w:customStyle="1" w:styleId="1b">
    <w:name w:val="清單段落1"/>
    <w:basedOn w:val="a3"/>
    <w:uiPriority w:val="34"/>
    <w:qFormat/>
    <w:pPr>
      <w:ind w:leftChars="200" w:left="480"/>
    </w:pPr>
  </w:style>
  <w:style w:type="character" w:customStyle="1" w:styleId="10">
    <w:name w:val="標題 1 字元"/>
    <w:link w:val="1"/>
    <w:rPr>
      <w:rFonts w:ascii="標楷體" w:eastAsia="標楷體" w:hAnsi="標楷體" w:cs="Times New Roman"/>
      <w:b/>
      <w:color w:val="000000"/>
      <w:sz w:val="32"/>
      <w:szCs w:val="32"/>
    </w:rPr>
  </w:style>
  <w:style w:type="character" w:customStyle="1" w:styleId="20">
    <w:name w:val="標題 2 字元"/>
    <w:link w:val="2"/>
    <w:rPr>
      <w:rFonts w:ascii="Times New Roman" w:eastAsia="標楷體" w:hAnsi="Times New Roman" w:cs="Times New Roman"/>
      <w:sz w:val="28"/>
      <w:szCs w:val="28"/>
      <w:lang w:val="zh-TW"/>
    </w:rPr>
  </w:style>
  <w:style w:type="character" w:customStyle="1" w:styleId="30">
    <w:name w:val="標題 3 字元"/>
    <w:link w:val="3"/>
    <w:rPr>
      <w:rFonts w:ascii="Times New Roman" w:eastAsia="標楷體" w:hAnsi="Times New Roman" w:cs="Times New Roman"/>
      <w:bCs/>
      <w:color w:val="000000"/>
      <w:kern w:val="0"/>
      <w:sz w:val="28"/>
      <w:szCs w:val="36"/>
      <w:lang w:val="zh-TW"/>
    </w:rPr>
  </w:style>
  <w:style w:type="character" w:customStyle="1" w:styleId="40">
    <w:name w:val="標題 4 字元"/>
    <w:link w:val="4"/>
    <w:rPr>
      <w:rFonts w:ascii="Times New Roman" w:eastAsia="標楷體" w:hAnsi="Times New Roman" w:cs="Times New Roman"/>
      <w:kern w:val="0"/>
      <w:sz w:val="28"/>
      <w:szCs w:val="36"/>
      <w:lang w:val="zh-TW"/>
    </w:rPr>
  </w:style>
  <w:style w:type="character" w:customStyle="1" w:styleId="50">
    <w:name w:val="標題 5 字元"/>
    <w:link w:val="5"/>
    <w:rPr>
      <w:rFonts w:ascii="Arial" w:eastAsia="標楷體" w:hAnsi="Arial" w:cs="Times New Roman"/>
      <w:bCs/>
      <w:sz w:val="28"/>
      <w:szCs w:val="36"/>
    </w:rPr>
  </w:style>
  <w:style w:type="character" w:customStyle="1" w:styleId="60">
    <w:name w:val="標題 6 字元"/>
    <w:link w:val="6"/>
    <w:rPr>
      <w:rFonts w:ascii="Arial" w:eastAsia="新細明體" w:hAnsi="Arial" w:cs="Times New Roman"/>
      <w:sz w:val="36"/>
      <w:szCs w:val="36"/>
    </w:rPr>
  </w:style>
  <w:style w:type="character" w:customStyle="1" w:styleId="afe">
    <w:name w:val="頁尾 字元"/>
    <w:link w:val="afd"/>
    <w:uiPriority w:val="99"/>
    <w:rPr>
      <w:rFonts w:ascii="Times New Roman" w:eastAsia="標楷體" w:hAnsi="Times New Roman" w:cs="Times New Roman"/>
      <w:sz w:val="20"/>
      <w:szCs w:val="20"/>
    </w:rPr>
  </w:style>
  <w:style w:type="character" w:customStyle="1" w:styleId="aff0">
    <w:name w:val="頁首 字元"/>
    <w:link w:val="aff"/>
    <w:rPr>
      <w:rFonts w:ascii="Times New Roman" w:eastAsia="標楷體" w:hAnsi="Times New Roman" w:cs="Times New Roman"/>
      <w:sz w:val="20"/>
      <w:szCs w:val="20"/>
    </w:rPr>
  </w:style>
  <w:style w:type="character" w:customStyle="1" w:styleId="afc">
    <w:name w:val="註解方塊文字 字元"/>
    <w:link w:val="afb"/>
    <w:semiHidden/>
    <w:rPr>
      <w:rFonts w:ascii="Arial" w:eastAsia="標楷體" w:hAnsi="Arial" w:cs="Times New Roman"/>
      <w:sz w:val="18"/>
      <w:szCs w:val="18"/>
    </w:rPr>
  </w:style>
  <w:style w:type="character" w:customStyle="1" w:styleId="aa">
    <w:name w:val="註解文字 字元"/>
    <w:link w:val="a8"/>
    <w:semiHidden/>
    <w:rPr>
      <w:rFonts w:ascii="Times New Roman" w:eastAsia="標楷體" w:hAnsi="Times New Roman" w:cs="Times New Roman"/>
      <w:szCs w:val="24"/>
    </w:rPr>
  </w:style>
  <w:style w:type="character" w:customStyle="1" w:styleId="a9">
    <w:name w:val="註解主旨 字元"/>
    <w:link w:val="a7"/>
    <w:semiHidden/>
    <w:rPr>
      <w:rFonts w:ascii="Times New Roman" w:eastAsia="標楷體" w:hAnsi="Times New Roman" w:cs="Times New Roman"/>
      <w:b/>
      <w:bCs/>
      <w:szCs w:val="24"/>
    </w:rPr>
  </w:style>
  <w:style w:type="character" w:customStyle="1" w:styleId="af3">
    <w:name w:val="本文 字元"/>
    <w:link w:val="af2"/>
    <w:rPr>
      <w:rFonts w:ascii="標楷體" w:eastAsia="標楷體" w:hAnsi="Times New Roman" w:cs="Times New Roman"/>
      <w:kern w:val="0"/>
      <w:szCs w:val="24"/>
    </w:rPr>
  </w:style>
  <w:style w:type="character" w:customStyle="1" w:styleId="HTML0">
    <w:name w:val="HTML 預設格式 字元"/>
    <w:link w:val="HTML"/>
    <w:rPr>
      <w:rFonts w:ascii="細明體" w:eastAsia="細明體" w:hAnsi="細明體" w:cs="細明體"/>
      <w:kern w:val="0"/>
      <w:szCs w:val="24"/>
    </w:rPr>
  </w:style>
  <w:style w:type="character" w:customStyle="1" w:styleId="af">
    <w:name w:val="問候 字元"/>
    <w:link w:val="ae"/>
    <w:rPr>
      <w:rFonts w:ascii="細明體" w:eastAsia="細明體" w:hAnsi="細明體" w:cs="Times New Roman"/>
      <w:color w:val="FF0000"/>
      <w:sz w:val="22"/>
    </w:rPr>
  </w:style>
  <w:style w:type="character" w:customStyle="1" w:styleId="af1">
    <w:name w:val="結語 字元"/>
    <w:link w:val="af0"/>
    <w:rPr>
      <w:rFonts w:ascii="細明體" w:eastAsia="細明體" w:hAnsi="細明體" w:cs="Times New Roman"/>
      <w:color w:val="FF0000"/>
      <w:sz w:val="22"/>
    </w:rPr>
  </w:style>
  <w:style w:type="character" w:customStyle="1" w:styleId="af5">
    <w:name w:val="本文縮排 字元"/>
    <w:link w:val="af4"/>
    <w:rPr>
      <w:rFonts w:ascii="Times New Roman" w:eastAsia="標楷體" w:hAnsi="Times New Roman" w:cs="Times New Roman"/>
      <w:szCs w:val="24"/>
    </w:rPr>
  </w:style>
  <w:style w:type="character" w:customStyle="1" w:styleId="25">
    <w:name w:val="本文 2 字元"/>
    <w:link w:val="24"/>
    <w:rPr>
      <w:rFonts w:ascii="Times New Roman" w:eastAsia="標楷體" w:hAnsi="Times New Roman" w:cs="Times New Roman"/>
      <w:szCs w:val="24"/>
    </w:rPr>
  </w:style>
  <w:style w:type="character" w:customStyle="1" w:styleId="22">
    <w:name w:val="本文縮排 2 字元"/>
    <w:link w:val="21"/>
    <w:rPr>
      <w:rFonts w:ascii="Times New Roman" w:eastAsia="新細明體" w:hAnsi="Times New Roman" w:cs="Times New Roman"/>
      <w:szCs w:val="24"/>
    </w:rPr>
  </w:style>
  <w:style w:type="character" w:customStyle="1" w:styleId="aff4">
    <w:name w:val="標題 字元"/>
    <w:link w:val="aff3"/>
    <w:rPr>
      <w:rFonts w:ascii="Arial" w:eastAsia="標楷體" w:hAnsi="Arial" w:cs="Arial"/>
      <w:b/>
      <w:bCs/>
      <w:sz w:val="32"/>
      <w:szCs w:val="32"/>
    </w:rPr>
  </w:style>
  <w:style w:type="character" w:customStyle="1" w:styleId="35">
    <w:name w:val="本文縮排 3 字元"/>
    <w:link w:val="34"/>
    <w:rPr>
      <w:rFonts w:ascii="Times New Roman" w:eastAsia="標楷體" w:hAnsi="Times New Roman" w:cs="Times New Roman"/>
      <w:sz w:val="16"/>
      <w:szCs w:val="16"/>
    </w:rPr>
  </w:style>
  <w:style w:type="character" w:customStyle="1" w:styleId="afff1">
    <w:name w:val="一、 字元"/>
    <w:link w:val="afff0"/>
    <w:rPr>
      <w:rFonts w:ascii="標楷體" w:eastAsia="標楷體" w:hAnsi="Times New Roman" w:cs="新細明體"/>
      <w:color w:val="000000"/>
      <w:szCs w:val="20"/>
    </w:rPr>
  </w:style>
  <w:style w:type="character" w:customStyle="1" w:styleId="afa">
    <w:name w:val="日期 字元"/>
    <w:link w:val="af9"/>
    <w:rPr>
      <w:rFonts w:ascii="Times New Roman" w:eastAsia="標楷體" w:hAnsi="Times New Roman" w:cs="Times New Roman"/>
      <w:szCs w:val="24"/>
    </w:rPr>
  </w:style>
  <w:style w:type="character" w:customStyle="1" w:styleId="32">
    <w:name w:val="本文 3 字元"/>
    <w:link w:val="31"/>
    <w:rPr>
      <w:rFonts w:ascii="Times New Roman" w:eastAsia="標楷體" w:hAnsi="Times New Roman" w:cs="Times New Roman"/>
      <w:sz w:val="16"/>
      <w:szCs w:val="16"/>
    </w:rPr>
  </w:style>
  <w:style w:type="character" w:customStyle="1" w:styleId="style91">
    <w:name w:val="style91"/>
    <w:rPr>
      <w:rFonts w:ascii="Arial" w:hAnsi="Arial" w:cs="Arial" w:hint="default"/>
      <w:sz w:val="20"/>
      <w:szCs w:val="20"/>
    </w:rPr>
  </w:style>
  <w:style w:type="character" w:customStyle="1" w:styleId="aff2">
    <w:name w:val="註腳文字 字元"/>
    <w:link w:val="aff1"/>
    <w:semiHidden/>
    <w:rPr>
      <w:rFonts w:ascii="Times New Roman" w:eastAsia="新細明體" w:hAnsi="Times New Roman" w:cs="Times New Roman"/>
      <w:sz w:val="20"/>
      <w:szCs w:val="20"/>
    </w:rPr>
  </w:style>
  <w:style w:type="character" w:customStyle="1" w:styleId="16">
    <w:name w:val="內文 1 字元"/>
    <w:link w:val="15"/>
    <w:rPr>
      <w:rFonts w:ascii="標楷體" w:eastAsia="標楷體" w:hAnsi="標楷體" w:cs="Times New Roman"/>
      <w:szCs w:val="24"/>
    </w:rPr>
  </w:style>
  <w:style w:type="character" w:customStyle="1" w:styleId="dialogtext1">
    <w:name w:val="dialog_text1"/>
    <w:rPr>
      <w:rFonts w:ascii="sө" w:hAnsi="sө" w:hint="default"/>
      <w:color w:val="000000"/>
      <w:sz w:val="24"/>
      <w:szCs w:val="24"/>
    </w:rPr>
  </w:style>
  <w:style w:type="character" w:customStyle="1" w:styleId="ac">
    <w:name w:val="註釋標題 字元"/>
    <w:link w:val="ab"/>
    <w:rPr>
      <w:rFonts w:ascii="Times New Roman" w:eastAsia="標楷體" w:hAnsi="Times New Roman" w:cs="Times New Roman"/>
      <w:kern w:val="0"/>
      <w:szCs w:val="24"/>
    </w:rPr>
  </w:style>
  <w:style w:type="character" w:customStyle="1" w:styleId="af8">
    <w:name w:val="純文字 字元"/>
    <w:link w:val="af7"/>
    <w:rPr>
      <w:rFonts w:ascii="細明體" w:eastAsia="細明體" w:hAnsi="Courier New" w:cs="Times New Roman"/>
      <w:szCs w:val="20"/>
    </w:rPr>
  </w:style>
  <w:style w:type="character" w:customStyle="1" w:styleId="style9">
    <w:name w:val="style9"/>
    <w:basedOn w:val="a4"/>
  </w:style>
  <w:style w:type="character" w:customStyle="1" w:styleId="positiontitle">
    <w:name w:val="position_title"/>
    <w:basedOn w:val="a4"/>
  </w:style>
  <w:style w:type="character" w:customStyle="1" w:styleId="2110">
    <w:name w:val="本文2_1_1 字元"/>
    <w:link w:val="211"/>
    <w:rPr>
      <w:rFonts w:ascii="新細明體" w:eastAsia="新細明體" w:hAnsi="新細明體" w:cs="Times New Roman"/>
      <w:b/>
      <w:strike/>
      <w:kern w:val="0"/>
      <w:szCs w:val="24"/>
    </w:rPr>
  </w:style>
  <w:style w:type="character" w:customStyle="1" w:styleId="blocktitle">
    <w:name w:val="block_title"/>
    <w:basedOn w:val="a4"/>
  </w:style>
  <w:style w:type="character" w:customStyle="1" w:styleId="19">
    <w:name w:val="本文1 字元"/>
    <w:link w:val="18"/>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臺北市政府消防局</dc:title>
  <dc:creator>鍾兆豐</dc:creator>
  <cp:lastModifiedBy>AGBB-37</cp:lastModifiedBy>
  <cp:revision>3</cp:revision>
  <cp:lastPrinted>2018-03-15T08:24:00Z</cp:lastPrinted>
  <dcterms:created xsi:type="dcterms:W3CDTF">2017-06-29T07:21:00Z</dcterms:created>
  <dcterms:modified xsi:type="dcterms:W3CDTF">2019-11-11T08:50:00Z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