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B5" w:rsidRDefault="00F87E12" w:rsidP="002D7750">
      <w:pPr>
        <w:jc w:val="center"/>
        <w:rPr>
          <w:rFonts w:ascii="標楷體" w:eastAsia="標楷體" w:hAnsi="標楷體"/>
          <w:sz w:val="32"/>
          <w:szCs w:val="32"/>
        </w:rPr>
      </w:pPr>
      <w:r w:rsidRPr="002D7750">
        <w:rPr>
          <w:rFonts w:ascii="標楷體" w:eastAsia="標楷體" w:hAnsi="標楷體" w:hint="eastAsia"/>
          <w:sz w:val="32"/>
          <w:szCs w:val="32"/>
        </w:rPr>
        <w:t>臺北市</w:t>
      </w:r>
      <w:r w:rsidR="001E5488">
        <w:rPr>
          <w:rFonts w:ascii="標楷體" w:eastAsia="標楷體" w:hAnsi="標楷體" w:hint="eastAsia"/>
          <w:sz w:val="32"/>
          <w:szCs w:val="32"/>
        </w:rPr>
        <w:t>政府</w:t>
      </w:r>
      <w:r w:rsidRPr="002D7750">
        <w:rPr>
          <w:rFonts w:ascii="標楷體" w:eastAsia="標楷體" w:hAnsi="標楷體" w:hint="eastAsia"/>
          <w:sz w:val="32"/>
          <w:szCs w:val="32"/>
        </w:rPr>
        <w:t xml:space="preserve">毒品危害防制中心 </w:t>
      </w:r>
    </w:p>
    <w:p w:rsidR="00F87E12" w:rsidRPr="002D7750" w:rsidRDefault="00F87E12" w:rsidP="002D7750">
      <w:pPr>
        <w:jc w:val="center"/>
        <w:rPr>
          <w:rFonts w:ascii="標楷體" w:eastAsia="標楷體" w:hAnsi="標楷體"/>
          <w:sz w:val="32"/>
          <w:szCs w:val="32"/>
        </w:rPr>
      </w:pPr>
      <w:r w:rsidRPr="002D7750">
        <w:rPr>
          <w:rFonts w:ascii="標楷體" w:eastAsia="標楷體" w:hAnsi="標楷體" w:hint="eastAsia"/>
          <w:sz w:val="32"/>
          <w:szCs w:val="32"/>
        </w:rPr>
        <w:t>中途之家</w:t>
      </w:r>
      <w:r w:rsidR="007E2031">
        <w:rPr>
          <w:rFonts w:ascii="標楷體" w:eastAsia="標楷體" w:hAnsi="標楷體" w:hint="eastAsia"/>
          <w:sz w:val="32"/>
          <w:szCs w:val="32"/>
        </w:rPr>
        <w:t>合作作業規範</w:t>
      </w:r>
    </w:p>
    <w:p w:rsidR="00F87E12" w:rsidRDefault="00F87E12" w:rsidP="00220BC2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87E12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F87E12">
        <w:rPr>
          <w:rFonts w:ascii="標楷體" w:eastAsia="標楷體" w:hAnsi="標楷體" w:hint="eastAsia"/>
          <w:sz w:val="28"/>
          <w:szCs w:val="28"/>
        </w:rPr>
        <w:t>、依據：</w:t>
      </w:r>
    </w:p>
    <w:p w:rsidR="00F87E12" w:rsidRPr="00F87E12" w:rsidRDefault="00F87E12" w:rsidP="00220BC2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7E12">
        <w:rPr>
          <w:rFonts w:ascii="標楷體" w:eastAsia="標楷體" w:hAnsi="標楷體" w:hint="eastAsia"/>
          <w:sz w:val="28"/>
          <w:szCs w:val="28"/>
        </w:rPr>
        <w:t>毒品危害防制條例第</w:t>
      </w:r>
      <w:r w:rsidRPr="00F87E12">
        <w:rPr>
          <w:rFonts w:ascii="標楷體" w:eastAsia="標楷體" w:hAnsi="標楷體"/>
          <w:sz w:val="28"/>
          <w:szCs w:val="28"/>
        </w:rPr>
        <w:t>2-1</w:t>
      </w:r>
      <w:r w:rsidRPr="00F87E12">
        <w:rPr>
          <w:rFonts w:ascii="標楷體" w:eastAsia="標楷體" w:hAnsi="標楷體" w:hint="eastAsia"/>
          <w:sz w:val="28"/>
          <w:szCs w:val="28"/>
        </w:rPr>
        <w:t>條第</w:t>
      </w:r>
      <w:r w:rsidRPr="00F87E12">
        <w:rPr>
          <w:rFonts w:ascii="標楷體" w:eastAsia="標楷體" w:hAnsi="標楷體"/>
          <w:sz w:val="28"/>
          <w:szCs w:val="28"/>
        </w:rPr>
        <w:t>3</w:t>
      </w:r>
      <w:r w:rsidRPr="00F87E12">
        <w:rPr>
          <w:rFonts w:ascii="標楷體" w:eastAsia="標楷體" w:hAnsi="標楷體" w:hint="eastAsia"/>
          <w:sz w:val="28"/>
          <w:szCs w:val="28"/>
        </w:rPr>
        <w:t>項：「提供或轉</w:t>
      </w:r>
      <w:proofErr w:type="gramStart"/>
      <w:r w:rsidRPr="00F87E12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F87E12">
        <w:rPr>
          <w:rFonts w:ascii="標楷體" w:eastAsia="標楷體" w:hAnsi="標楷體" w:hint="eastAsia"/>
          <w:sz w:val="28"/>
          <w:szCs w:val="28"/>
        </w:rPr>
        <w:t>施用毒品者各項社會救助、法律服務、就學服務、保護安置、危機處理服務、職業訓練及就業服務。」。</w:t>
      </w:r>
    </w:p>
    <w:p w:rsidR="00F87E12" w:rsidRPr="00F87E12" w:rsidRDefault="004D2B5F" w:rsidP="00220B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87E12" w:rsidRPr="00F87E12">
        <w:rPr>
          <w:rFonts w:ascii="標楷體" w:eastAsia="標楷體" w:hAnsi="標楷體" w:hint="eastAsia"/>
          <w:sz w:val="28"/>
          <w:szCs w:val="28"/>
        </w:rPr>
        <w:t>、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補(捐)助條件或標準</w:t>
      </w:r>
      <w:r w:rsidR="00F87E12" w:rsidRPr="00F87E12">
        <w:rPr>
          <w:rFonts w:ascii="標楷體" w:eastAsia="標楷體" w:hAnsi="標楷體" w:hint="eastAsia"/>
          <w:sz w:val="28"/>
          <w:szCs w:val="28"/>
        </w:rPr>
        <w:t>：</w:t>
      </w:r>
    </w:p>
    <w:p w:rsidR="007E2031" w:rsidRDefault="007E2031" w:rsidP="00220BC2">
      <w:pPr>
        <w:spacing w:line="400" w:lineRule="exact"/>
        <w:ind w:leftChars="119" w:left="849" w:hangingChars="201" w:hanging="563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(一)具藥物成癮相關證明（如違反毒品危害防治條例之相關證明、物質濫用或物質成癮之診斷證明書等）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E2031" w:rsidRPr="007E2031" w:rsidRDefault="007E2031" w:rsidP="00220BC2">
      <w:pPr>
        <w:spacing w:line="400" w:lineRule="exact"/>
        <w:ind w:leftChars="119" w:left="849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7E2031">
        <w:rPr>
          <w:rFonts w:ascii="標楷體" w:eastAsia="標楷體" w:hAnsi="標楷體" w:hint="eastAsia"/>
          <w:sz w:val="28"/>
          <w:szCs w:val="28"/>
        </w:rPr>
        <w:t>設籍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E2031">
        <w:rPr>
          <w:rFonts w:ascii="標楷體" w:eastAsia="標楷體" w:hAnsi="標楷體" w:hint="eastAsia"/>
          <w:sz w:val="28"/>
          <w:szCs w:val="28"/>
        </w:rPr>
        <w:t>北市相關文件證明之個案安置輔導費用。</w:t>
      </w:r>
    </w:p>
    <w:p w:rsidR="004D2B5F" w:rsidRDefault="007E2031" w:rsidP="004D2B5F">
      <w:pPr>
        <w:spacing w:line="40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E2031">
        <w:rPr>
          <w:rFonts w:ascii="標楷體" w:eastAsia="標楷體" w:hAnsi="標楷體" w:hint="eastAsia"/>
          <w:sz w:val="28"/>
          <w:szCs w:val="28"/>
        </w:rPr>
        <w:t>)辦理機構內業務之支薪人員不可</w:t>
      </w:r>
      <w:proofErr w:type="gramStart"/>
      <w:r w:rsidRPr="007E2031">
        <w:rPr>
          <w:rFonts w:ascii="標楷體" w:eastAsia="標楷體" w:hAnsi="標楷體" w:hint="eastAsia"/>
          <w:sz w:val="28"/>
          <w:szCs w:val="28"/>
        </w:rPr>
        <w:t>臚</w:t>
      </w:r>
      <w:proofErr w:type="gramEnd"/>
      <w:r w:rsidRPr="007E2031">
        <w:rPr>
          <w:rFonts w:ascii="標楷體" w:eastAsia="標楷體" w:hAnsi="標楷體" w:hint="eastAsia"/>
          <w:sz w:val="28"/>
          <w:szCs w:val="28"/>
        </w:rPr>
        <w:t>列在內。</w:t>
      </w:r>
    </w:p>
    <w:p w:rsidR="00F87E12" w:rsidRPr="008F4603" w:rsidRDefault="004D2B5F" w:rsidP="004D2B5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E2031" w:rsidRPr="008F4603">
        <w:rPr>
          <w:rFonts w:ascii="標楷體" w:eastAsia="標楷體" w:hAnsi="標楷體" w:hint="eastAsia"/>
          <w:sz w:val="28"/>
          <w:szCs w:val="28"/>
        </w:rPr>
        <w:t>申請程序及應備條件</w:t>
      </w:r>
      <w:r w:rsidR="00F87E12" w:rsidRPr="008F4603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7E2031" w:rsidRPr="008F4603" w:rsidRDefault="008F4603" w:rsidP="008F4603">
      <w:pPr>
        <w:spacing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E2031" w:rsidRPr="008F4603">
        <w:rPr>
          <w:rFonts w:ascii="標楷體" w:eastAsia="標楷體" w:hAnsi="標楷體" w:hint="eastAsia"/>
          <w:sz w:val="28"/>
          <w:szCs w:val="28"/>
        </w:rPr>
        <w:t>應備條件:申請人身分需具有以下2種資格之</w:t>
      </w:r>
      <w:proofErr w:type="gramStart"/>
      <w:r w:rsidR="007E2031" w:rsidRPr="008F46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E2031" w:rsidRPr="008F4603">
        <w:rPr>
          <w:rFonts w:ascii="標楷體" w:eastAsia="標楷體" w:hAnsi="標楷體" w:hint="eastAsia"/>
          <w:sz w:val="28"/>
          <w:szCs w:val="28"/>
        </w:rPr>
        <w:t>：</w:t>
      </w:r>
    </w:p>
    <w:p w:rsidR="007E2031" w:rsidRPr="007E2031" w:rsidRDefault="007E2031" w:rsidP="00220BC2">
      <w:pPr>
        <w:spacing w:line="40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1.社團（財團）法人：需具有經營戒除</w:t>
      </w:r>
      <w:proofErr w:type="gramStart"/>
      <w:r w:rsidRPr="007E203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E2031">
        <w:rPr>
          <w:rFonts w:ascii="標楷體" w:eastAsia="標楷體" w:hAnsi="標楷體" w:hint="eastAsia"/>
          <w:sz w:val="28"/>
          <w:szCs w:val="28"/>
        </w:rPr>
        <w:t>毒酒癮類處所或中途場所經驗，且有設置之相關收容處所。</w:t>
      </w:r>
    </w:p>
    <w:p w:rsidR="007E2031" w:rsidRPr="007E2031" w:rsidRDefault="007E2031" w:rsidP="00220BC2">
      <w:pPr>
        <w:spacing w:line="40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2.自然人：</w:t>
      </w:r>
      <w:proofErr w:type="gramStart"/>
      <w:r w:rsidRPr="007E2031">
        <w:rPr>
          <w:rFonts w:ascii="標楷體" w:eastAsia="標楷體" w:hAnsi="標楷體" w:hint="eastAsia"/>
          <w:sz w:val="28"/>
          <w:szCs w:val="28"/>
        </w:rPr>
        <w:t>需於藥癮</w:t>
      </w:r>
      <w:proofErr w:type="gramEnd"/>
      <w:r w:rsidRPr="007E2031">
        <w:rPr>
          <w:rFonts w:ascii="標楷體" w:eastAsia="標楷體" w:hAnsi="標楷體" w:hint="eastAsia"/>
          <w:sz w:val="28"/>
          <w:szCs w:val="28"/>
        </w:rPr>
        <w:t>戒治經驗之相關收容處所實際執行業務</w:t>
      </w:r>
      <w:r w:rsidR="00FC78F1">
        <w:rPr>
          <w:rFonts w:ascii="標楷體" w:eastAsia="標楷體" w:hAnsi="標楷體" w:hint="eastAsia"/>
          <w:sz w:val="28"/>
          <w:szCs w:val="28"/>
        </w:rPr>
        <w:t>2</w:t>
      </w:r>
      <w:r w:rsidRPr="007E2031">
        <w:rPr>
          <w:rFonts w:ascii="標楷體" w:eastAsia="標楷體" w:hAnsi="標楷體" w:hint="eastAsia"/>
          <w:sz w:val="28"/>
          <w:szCs w:val="28"/>
        </w:rPr>
        <w:t>年以上之工作經驗，且無重大違規案件等記錄。</w:t>
      </w:r>
    </w:p>
    <w:p w:rsidR="007E2031" w:rsidRPr="007E2031" w:rsidRDefault="007E2031" w:rsidP="00220BC2">
      <w:pPr>
        <w:spacing w:line="40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(二)提供收容輔導處所之相關軟硬體設施，</w:t>
      </w:r>
      <w:proofErr w:type="gramStart"/>
      <w:r w:rsidRPr="007E2031">
        <w:rPr>
          <w:rFonts w:ascii="標楷體" w:eastAsia="標楷體" w:hAnsi="標楷體" w:hint="eastAsia"/>
          <w:sz w:val="28"/>
          <w:szCs w:val="28"/>
        </w:rPr>
        <w:t>臚列如</w:t>
      </w:r>
      <w:proofErr w:type="gramEnd"/>
      <w:r w:rsidRPr="007E2031">
        <w:rPr>
          <w:rFonts w:ascii="標楷體" w:eastAsia="標楷體" w:hAnsi="標楷體" w:hint="eastAsia"/>
          <w:sz w:val="28"/>
          <w:szCs w:val="28"/>
        </w:rPr>
        <w:t>下</w:t>
      </w:r>
      <w:r w:rsidR="00FC78F1">
        <w:rPr>
          <w:rFonts w:ascii="標楷體" w:eastAsia="標楷體" w:hAnsi="標楷體" w:hint="eastAsia"/>
          <w:sz w:val="28"/>
          <w:szCs w:val="28"/>
        </w:rPr>
        <w:t>：</w:t>
      </w:r>
    </w:p>
    <w:p w:rsidR="007E2031" w:rsidRPr="007E2031" w:rsidRDefault="007E2031" w:rsidP="00220BC2">
      <w:pPr>
        <w:spacing w:line="40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1.處所：至少應包含寢室、廚房衛浴、活動空間、教室及工作訓練空間等。</w:t>
      </w:r>
    </w:p>
    <w:p w:rsidR="007E2031" w:rsidRPr="007E2031" w:rsidRDefault="007E2031" w:rsidP="00220BC2">
      <w:pPr>
        <w:spacing w:line="400" w:lineRule="exact"/>
        <w:ind w:leftChars="235" w:left="564" w:firstLineChars="51" w:firstLine="143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2.輔導人力配置：應有適當人數之專兼職工作人力。</w:t>
      </w:r>
    </w:p>
    <w:p w:rsidR="007E2031" w:rsidRPr="007E2031" w:rsidRDefault="007E2031" w:rsidP="00220BC2">
      <w:pPr>
        <w:spacing w:line="400" w:lineRule="exact"/>
        <w:ind w:leftChars="235" w:left="564" w:firstLineChars="51" w:firstLine="143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3.設施設備：至少應有休閒設施、書桌、通信設備等。</w:t>
      </w:r>
    </w:p>
    <w:p w:rsidR="007E2031" w:rsidRPr="007E2031" w:rsidRDefault="007E2031" w:rsidP="00220BC2">
      <w:pPr>
        <w:spacing w:line="400" w:lineRule="exact"/>
        <w:ind w:leftChars="235" w:left="564" w:firstLineChars="51" w:firstLine="143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4.輔教措施：</w:t>
      </w:r>
    </w:p>
    <w:p w:rsidR="007E2031" w:rsidRPr="007E2031" w:rsidRDefault="00FC78F1" w:rsidP="00220BC2">
      <w:pPr>
        <w:spacing w:line="400" w:lineRule="exact"/>
        <w:ind w:leftChars="235" w:left="564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藥癮戒治：提供戒癮、毒品危害及藥物濫用預防等輔導。</w:t>
      </w:r>
    </w:p>
    <w:p w:rsidR="007E2031" w:rsidRPr="007E2031" w:rsidRDefault="00FC78F1" w:rsidP="00220BC2">
      <w:pPr>
        <w:spacing w:line="400" w:lineRule="exact"/>
        <w:ind w:leftChars="412" w:left="2691" w:hangingChars="608" w:hanging="17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身心調整：生活作息、言行規範、觀念導正、法紀教育、身心靈輔導等。</w:t>
      </w:r>
    </w:p>
    <w:p w:rsidR="007E2031" w:rsidRPr="007E2031" w:rsidRDefault="00FC78F1" w:rsidP="00220BC2">
      <w:pPr>
        <w:spacing w:line="400" w:lineRule="exact"/>
        <w:ind w:leftChars="235" w:left="564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心理輔導：心理諮商、宗教或心靈活動等。</w:t>
      </w:r>
    </w:p>
    <w:p w:rsidR="007E2031" w:rsidRPr="007E2031" w:rsidRDefault="00FC78F1" w:rsidP="00220BC2">
      <w:pPr>
        <w:spacing w:line="400" w:lineRule="exact"/>
        <w:ind w:leftChars="413" w:left="2833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職技訓練：農業、園藝、銅雕、食品烘焙、木工技能、電腦文書、民俗推拿技能等。</w:t>
      </w:r>
    </w:p>
    <w:p w:rsidR="007E2031" w:rsidRPr="007E2031" w:rsidRDefault="00FC78F1" w:rsidP="00220BC2">
      <w:pPr>
        <w:spacing w:line="400" w:lineRule="exact"/>
        <w:ind w:leftChars="235" w:left="564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安全維護措施。</w:t>
      </w:r>
    </w:p>
    <w:p w:rsidR="007E2031" w:rsidRPr="007E2031" w:rsidRDefault="00FC78F1" w:rsidP="00220BC2">
      <w:pPr>
        <w:spacing w:line="400" w:lineRule="exact"/>
        <w:ind w:leftChars="235" w:left="564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管理辦法。</w:t>
      </w:r>
    </w:p>
    <w:p w:rsidR="007E2031" w:rsidRPr="007E2031" w:rsidRDefault="00FC78F1" w:rsidP="00220BC2">
      <w:pPr>
        <w:spacing w:line="400" w:lineRule="exact"/>
        <w:ind w:leftChars="235" w:left="564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(7)</w:t>
      </w:r>
      <w:r w:rsidR="007E2031" w:rsidRPr="007E2031">
        <w:rPr>
          <w:rFonts w:ascii="標楷體" w:eastAsia="標楷體" w:hAnsi="標楷體" w:hint="eastAsia"/>
          <w:sz w:val="28"/>
          <w:szCs w:val="28"/>
        </w:rPr>
        <w:t>緊急事件處理流程。</w:t>
      </w:r>
    </w:p>
    <w:p w:rsidR="00F87E12" w:rsidRDefault="007E2031" w:rsidP="00220BC2">
      <w:pPr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7E2031">
        <w:rPr>
          <w:rFonts w:ascii="標楷體" w:eastAsia="標楷體" w:hAnsi="標楷體" w:hint="eastAsia"/>
          <w:sz w:val="28"/>
          <w:szCs w:val="28"/>
        </w:rPr>
        <w:t>(三)申請方式：</w:t>
      </w:r>
      <w:proofErr w:type="gramStart"/>
      <w:r w:rsidRPr="007E2031">
        <w:rPr>
          <w:rFonts w:ascii="標楷體" w:eastAsia="標楷體" w:hAnsi="標楷體" w:hint="eastAsia"/>
          <w:sz w:val="28"/>
          <w:szCs w:val="28"/>
        </w:rPr>
        <w:t>提具戒治</w:t>
      </w:r>
      <w:proofErr w:type="gramEnd"/>
      <w:r w:rsidRPr="007E2031">
        <w:rPr>
          <w:rFonts w:ascii="標楷體" w:eastAsia="標楷體" w:hAnsi="標楷體" w:hint="eastAsia"/>
          <w:sz w:val="28"/>
          <w:szCs w:val="28"/>
        </w:rPr>
        <w:t>收容計畫書（應包含目標、措施、戒治場</w:t>
      </w:r>
      <w:r w:rsidRPr="007E2031">
        <w:rPr>
          <w:rFonts w:ascii="標楷體" w:eastAsia="標楷體" w:hAnsi="標楷體" w:hint="eastAsia"/>
          <w:sz w:val="28"/>
          <w:szCs w:val="28"/>
        </w:rPr>
        <w:lastRenderedPageBreak/>
        <w:t>所及設施設備、人力規劃運用等），及符合上開相關證明文件、資料送本</w:t>
      </w:r>
      <w:r w:rsidR="00220BC2">
        <w:rPr>
          <w:rFonts w:ascii="標楷體" w:eastAsia="標楷體" w:hAnsi="標楷體" w:hint="eastAsia"/>
          <w:sz w:val="28"/>
          <w:szCs w:val="28"/>
        </w:rPr>
        <w:t>中心</w:t>
      </w:r>
      <w:r w:rsidRPr="007E2031">
        <w:rPr>
          <w:rFonts w:ascii="標楷體" w:eastAsia="標楷體" w:hAnsi="標楷體" w:hint="eastAsia"/>
          <w:sz w:val="28"/>
          <w:szCs w:val="28"/>
        </w:rPr>
        <w:t>審查，必要時將會派員至現場會</w:t>
      </w:r>
      <w:proofErr w:type="gramStart"/>
      <w:r w:rsidRPr="007E2031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FC78F1">
        <w:rPr>
          <w:rFonts w:ascii="標楷體" w:eastAsia="標楷體" w:hAnsi="標楷體" w:hint="eastAsia"/>
          <w:sz w:val="28"/>
          <w:szCs w:val="28"/>
        </w:rPr>
        <w:t>(詳如流程圖及相關附件)</w:t>
      </w:r>
      <w:r w:rsidRPr="007E2031">
        <w:rPr>
          <w:rFonts w:ascii="標楷體" w:eastAsia="標楷體" w:hAnsi="標楷體" w:hint="eastAsia"/>
          <w:sz w:val="28"/>
          <w:szCs w:val="28"/>
        </w:rPr>
        <w:t>。</w:t>
      </w:r>
    </w:p>
    <w:p w:rsidR="00651238" w:rsidRPr="00651238" w:rsidRDefault="004D2B5F" w:rsidP="00220BC2">
      <w:pPr>
        <w:spacing w:line="400" w:lineRule="exact"/>
        <w:ind w:left="846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51238">
        <w:rPr>
          <w:rFonts w:ascii="標楷體" w:eastAsia="標楷體" w:hAnsi="標楷體" w:hint="eastAsia"/>
          <w:sz w:val="28"/>
          <w:szCs w:val="28"/>
        </w:rPr>
        <w:t>、</w:t>
      </w:r>
      <w:r w:rsidR="00651238" w:rsidRPr="00651238">
        <w:rPr>
          <w:rFonts w:ascii="標楷體" w:eastAsia="標楷體" w:hAnsi="標楷體" w:hint="eastAsia"/>
          <w:sz w:val="28"/>
          <w:szCs w:val="28"/>
        </w:rPr>
        <w:t>審核作業：</w:t>
      </w:r>
    </w:p>
    <w:p w:rsidR="00651238" w:rsidRPr="00651238" w:rsidRDefault="00651238" w:rsidP="00220BC2">
      <w:pPr>
        <w:spacing w:line="400" w:lineRule="exact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65123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512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51238">
        <w:rPr>
          <w:rFonts w:ascii="標楷體" w:eastAsia="標楷體" w:hAnsi="標楷體" w:hint="eastAsia"/>
          <w:sz w:val="28"/>
          <w:szCs w:val="28"/>
        </w:rPr>
        <w:t>)計畫審核標準如下：</w:t>
      </w:r>
    </w:p>
    <w:p w:rsidR="00651238" w:rsidRPr="00651238" w:rsidRDefault="00651238" w:rsidP="00220BC2">
      <w:pPr>
        <w:spacing w:line="400" w:lineRule="exact"/>
        <w:ind w:leftChars="295" w:left="842" w:hangingChars="48" w:hanging="134"/>
        <w:rPr>
          <w:rFonts w:ascii="標楷體" w:eastAsia="標楷體" w:hAnsi="標楷體"/>
          <w:sz w:val="28"/>
          <w:szCs w:val="28"/>
        </w:rPr>
      </w:pPr>
      <w:r w:rsidRPr="0065123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651238">
        <w:rPr>
          <w:rFonts w:ascii="標楷體" w:eastAsia="標楷體" w:hAnsi="標楷體" w:hint="eastAsia"/>
          <w:sz w:val="28"/>
          <w:szCs w:val="28"/>
        </w:rPr>
        <w:t>檢附文件是否齊備。</w:t>
      </w:r>
    </w:p>
    <w:p w:rsidR="00651238" w:rsidRPr="00651238" w:rsidRDefault="00651238" w:rsidP="00220BC2">
      <w:pPr>
        <w:spacing w:line="400" w:lineRule="exact"/>
        <w:ind w:left="846" w:hangingChars="302" w:hanging="846"/>
        <w:rPr>
          <w:rFonts w:ascii="標楷體" w:eastAsia="標楷體" w:hAnsi="標楷體"/>
          <w:sz w:val="28"/>
          <w:szCs w:val="28"/>
        </w:rPr>
      </w:pPr>
      <w:r w:rsidRPr="00651238">
        <w:rPr>
          <w:rFonts w:ascii="標楷體" w:eastAsia="標楷體" w:hAnsi="標楷體" w:hint="eastAsia"/>
          <w:sz w:val="28"/>
          <w:szCs w:val="28"/>
        </w:rPr>
        <w:t xml:space="preserve">     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651238">
        <w:rPr>
          <w:rFonts w:ascii="標楷體" w:eastAsia="標楷體" w:hAnsi="標楷體" w:hint="eastAsia"/>
          <w:sz w:val="28"/>
          <w:szCs w:val="28"/>
        </w:rPr>
        <w:t>提出申請補助計畫是否符合第四點第三項規定。</w:t>
      </w:r>
    </w:p>
    <w:p w:rsidR="00651238" w:rsidRPr="00651238" w:rsidRDefault="00651238" w:rsidP="00220BC2">
      <w:pPr>
        <w:spacing w:line="400" w:lineRule="exact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651238">
        <w:rPr>
          <w:rFonts w:ascii="標楷體" w:eastAsia="標楷體" w:hAnsi="標楷體" w:hint="eastAsia"/>
          <w:sz w:val="28"/>
          <w:szCs w:val="28"/>
        </w:rPr>
        <w:t>(二)</w:t>
      </w:r>
      <w:r w:rsidR="00220BC2" w:rsidRPr="00651238">
        <w:rPr>
          <w:rFonts w:ascii="標楷體" w:eastAsia="標楷體" w:hAnsi="標楷體" w:hint="eastAsia"/>
          <w:sz w:val="28"/>
          <w:szCs w:val="28"/>
        </w:rPr>
        <w:t>編列補助之經費</w:t>
      </w:r>
      <w:proofErr w:type="gramStart"/>
      <w:r w:rsidR="00220BC2" w:rsidRPr="0065123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20BC2" w:rsidRPr="00651238">
        <w:rPr>
          <w:rFonts w:ascii="標楷體" w:eastAsia="標楷體" w:hAnsi="標楷體" w:hint="eastAsia"/>
          <w:sz w:val="28"/>
          <w:szCs w:val="28"/>
        </w:rPr>
        <w:t>先收件先審核方式，</w:t>
      </w:r>
      <w:proofErr w:type="gramStart"/>
      <w:r w:rsidR="00220BC2" w:rsidRPr="00651238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220BC2" w:rsidRPr="00651238">
        <w:rPr>
          <w:rFonts w:ascii="標楷體" w:eastAsia="標楷體" w:hAnsi="標楷體" w:hint="eastAsia"/>
          <w:sz w:val="28"/>
          <w:szCs w:val="28"/>
        </w:rPr>
        <w:t>審核後始得執行。</w:t>
      </w:r>
      <w:r w:rsidRPr="00651238">
        <w:rPr>
          <w:rFonts w:ascii="標楷體" w:eastAsia="標楷體" w:hAnsi="標楷體" w:hint="eastAsia"/>
          <w:sz w:val="28"/>
          <w:szCs w:val="28"/>
        </w:rPr>
        <w:t>經費核銷</w:t>
      </w:r>
      <w:proofErr w:type="gramStart"/>
      <w:r w:rsidRPr="0065123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51238">
        <w:rPr>
          <w:rFonts w:ascii="標楷體" w:eastAsia="標楷體" w:hAnsi="標楷體" w:hint="eastAsia"/>
          <w:sz w:val="28"/>
          <w:szCs w:val="28"/>
        </w:rPr>
        <w:t>事後審核，申請單位須於次月5日前檢具應備文件，送至相關承辦業務單位審核。</w:t>
      </w:r>
    </w:p>
    <w:p w:rsidR="00651238" w:rsidRPr="00651238" w:rsidRDefault="00651238" w:rsidP="00220BC2">
      <w:pPr>
        <w:spacing w:line="400" w:lineRule="exact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651238">
        <w:rPr>
          <w:rFonts w:ascii="標楷體" w:eastAsia="標楷體" w:hAnsi="標楷體" w:hint="eastAsia"/>
          <w:sz w:val="28"/>
          <w:szCs w:val="28"/>
        </w:rPr>
        <w:t>(三)</w:t>
      </w:r>
      <w:r w:rsidR="00220BC2" w:rsidRPr="00651238">
        <w:rPr>
          <w:rFonts w:ascii="標楷體" w:eastAsia="標楷體" w:hAnsi="標楷體" w:hint="eastAsia"/>
          <w:sz w:val="28"/>
          <w:szCs w:val="28"/>
        </w:rPr>
        <w:t>收容人</w:t>
      </w:r>
      <w:r w:rsidR="0084302A" w:rsidRPr="0084302A">
        <w:rPr>
          <w:rFonts w:ascii="標楷體" w:eastAsia="標楷體" w:hAnsi="標楷體" w:hint="eastAsia"/>
          <w:sz w:val="28"/>
          <w:szCs w:val="28"/>
        </w:rPr>
        <w:t>收容輔導費用之日常生活費用</w:t>
      </w:r>
      <w:r w:rsidR="00220BC2" w:rsidRPr="00651238">
        <w:rPr>
          <w:rFonts w:ascii="標楷體" w:eastAsia="標楷體" w:hAnsi="標楷體" w:hint="eastAsia"/>
          <w:sz w:val="28"/>
          <w:szCs w:val="28"/>
        </w:rPr>
        <w:t>用不得再向個案重複收費或收取差額；若已向其他經費來源申請相同項目之經費補助者，亦不得重複向本</w:t>
      </w:r>
      <w:r w:rsidR="008F4603">
        <w:rPr>
          <w:rFonts w:ascii="標楷體" w:eastAsia="標楷體" w:hAnsi="標楷體" w:hint="eastAsia"/>
          <w:sz w:val="28"/>
          <w:szCs w:val="28"/>
        </w:rPr>
        <w:t>中心</w:t>
      </w:r>
      <w:r w:rsidR="00220BC2" w:rsidRPr="00651238">
        <w:rPr>
          <w:rFonts w:ascii="標楷體" w:eastAsia="標楷體" w:hAnsi="標楷體" w:hint="eastAsia"/>
          <w:sz w:val="28"/>
          <w:szCs w:val="28"/>
        </w:rPr>
        <w:t>申請。一經查獲屬實，將全額追回重複收費個案之補助金額，並請限期改善，未能如期改善或</w:t>
      </w:r>
      <w:proofErr w:type="gramStart"/>
      <w:r w:rsidR="00220BC2" w:rsidRPr="00651238">
        <w:rPr>
          <w:rFonts w:ascii="標楷體" w:eastAsia="標楷體" w:hAnsi="標楷體" w:hint="eastAsia"/>
          <w:sz w:val="28"/>
          <w:szCs w:val="28"/>
        </w:rPr>
        <w:t>再犯達3次</w:t>
      </w:r>
      <w:proofErr w:type="gramEnd"/>
      <w:r w:rsidR="00220BC2" w:rsidRPr="00651238">
        <w:rPr>
          <w:rFonts w:ascii="標楷體" w:eastAsia="標楷體" w:hAnsi="標楷體" w:hint="eastAsia"/>
          <w:sz w:val="28"/>
          <w:szCs w:val="28"/>
        </w:rPr>
        <w:t>將不列入下年度合作對象。</w:t>
      </w:r>
    </w:p>
    <w:p w:rsidR="00F87E12" w:rsidRPr="00F87E12" w:rsidRDefault="004D2B5F" w:rsidP="00220BC2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87E12" w:rsidRPr="00F87E12">
        <w:rPr>
          <w:rFonts w:ascii="標楷體" w:eastAsia="標楷體" w:hAnsi="標楷體" w:hint="eastAsia"/>
          <w:sz w:val="28"/>
          <w:szCs w:val="28"/>
        </w:rPr>
        <w:t>、</w:t>
      </w:r>
      <w:r w:rsidR="00220BC2" w:rsidRPr="00220BC2">
        <w:rPr>
          <w:rFonts w:ascii="標楷體" w:eastAsia="標楷體" w:hAnsi="標楷體" w:hint="eastAsia"/>
          <w:sz w:val="28"/>
          <w:szCs w:val="28"/>
        </w:rPr>
        <w:t>執行規定：本</w:t>
      </w:r>
      <w:r w:rsidR="008F4603">
        <w:rPr>
          <w:rFonts w:ascii="標楷體" w:eastAsia="標楷體" w:hAnsi="標楷體" w:hint="eastAsia"/>
          <w:sz w:val="28"/>
          <w:szCs w:val="28"/>
        </w:rPr>
        <w:t>中心</w:t>
      </w:r>
      <w:r w:rsidR="00220BC2" w:rsidRPr="00220BC2">
        <w:rPr>
          <w:rFonts w:ascii="標楷體" w:eastAsia="標楷體" w:hAnsi="標楷體" w:hint="eastAsia"/>
          <w:sz w:val="28"/>
          <w:szCs w:val="28"/>
        </w:rPr>
        <w:t>將定期或不定期查訪，以</w:t>
      </w:r>
      <w:proofErr w:type="gramStart"/>
      <w:r w:rsidR="00220BC2" w:rsidRPr="00220BC2">
        <w:rPr>
          <w:rFonts w:ascii="標楷體" w:eastAsia="標楷體" w:hAnsi="標楷體" w:hint="eastAsia"/>
          <w:sz w:val="28"/>
          <w:szCs w:val="28"/>
        </w:rPr>
        <w:t>暸</w:t>
      </w:r>
      <w:proofErr w:type="gramEnd"/>
      <w:r w:rsidR="00220BC2" w:rsidRPr="00220BC2">
        <w:rPr>
          <w:rFonts w:ascii="標楷體" w:eastAsia="標楷體" w:hAnsi="標楷體" w:hint="eastAsia"/>
          <w:sz w:val="28"/>
          <w:szCs w:val="28"/>
        </w:rPr>
        <w:t>解經費運用情形與執行成效，查訪結果將列入終止合約或續約與否依據。</w:t>
      </w:r>
      <w:r>
        <w:rPr>
          <w:rFonts w:ascii="標楷體" w:eastAsia="標楷體" w:hAnsi="標楷體" w:hint="eastAsia"/>
          <w:sz w:val="28"/>
          <w:szCs w:val="28"/>
        </w:rPr>
        <w:t>倘</w:t>
      </w:r>
      <w:r w:rsidR="0088595C">
        <w:rPr>
          <w:rFonts w:eastAsia="標楷體" w:hint="eastAsia"/>
          <w:sz w:val="28"/>
        </w:rPr>
        <w:t>相關經費</w:t>
      </w:r>
      <w:r>
        <w:rPr>
          <w:rFonts w:eastAsia="標楷體" w:hint="eastAsia"/>
          <w:sz w:val="28"/>
        </w:rPr>
        <w:t>用</w:t>
      </w:r>
      <w:r w:rsidR="0088595C">
        <w:rPr>
          <w:rFonts w:eastAsia="標楷體" w:hint="eastAsia"/>
          <w:sz w:val="28"/>
        </w:rPr>
        <w:t>罄</w:t>
      </w:r>
      <w:r>
        <w:rPr>
          <w:rFonts w:eastAsia="標楷體" w:hint="eastAsia"/>
          <w:sz w:val="28"/>
        </w:rPr>
        <w:t>時，本計畫提前終止</w:t>
      </w:r>
      <w:r w:rsidR="00280F1F">
        <w:rPr>
          <w:rFonts w:eastAsia="標楷體" w:hint="eastAsia"/>
          <w:sz w:val="28"/>
        </w:rPr>
        <w:t>。</w:t>
      </w:r>
    </w:p>
    <w:p w:rsidR="00371747" w:rsidRPr="00F87E12" w:rsidRDefault="004D2B5F" w:rsidP="00220B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87E12" w:rsidRPr="00F87E12">
        <w:rPr>
          <w:rFonts w:ascii="標楷體" w:eastAsia="標楷體" w:hAnsi="標楷體" w:hint="eastAsia"/>
          <w:sz w:val="28"/>
          <w:szCs w:val="28"/>
        </w:rPr>
        <w:t>、</w:t>
      </w:r>
      <w:r w:rsidR="00220BC2" w:rsidRPr="00220BC2">
        <w:rPr>
          <w:rFonts w:ascii="標楷體" w:eastAsia="標楷體" w:hAnsi="標楷體" w:hint="eastAsia"/>
          <w:sz w:val="28"/>
          <w:szCs w:val="28"/>
        </w:rPr>
        <w:t>本</w:t>
      </w:r>
      <w:r w:rsidR="00A95B92">
        <w:rPr>
          <w:rFonts w:ascii="標楷體" w:eastAsia="標楷體" w:hAnsi="標楷體" w:hint="eastAsia"/>
          <w:sz w:val="28"/>
          <w:szCs w:val="28"/>
        </w:rPr>
        <w:t>規範</w:t>
      </w:r>
      <w:r w:rsidR="00220BC2" w:rsidRPr="00220BC2">
        <w:rPr>
          <w:rFonts w:ascii="標楷體" w:eastAsia="標楷體" w:hAnsi="標楷體" w:hint="eastAsia"/>
          <w:sz w:val="28"/>
          <w:szCs w:val="28"/>
        </w:rPr>
        <w:t>如有未盡事宜，得隨時補充修正之。</w:t>
      </w:r>
    </w:p>
    <w:sectPr w:rsidR="00371747" w:rsidRPr="00F87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58" w:rsidRDefault="00AF3058" w:rsidP="00CE44F8">
      <w:r>
        <w:separator/>
      </w:r>
    </w:p>
  </w:endnote>
  <w:endnote w:type="continuationSeparator" w:id="0">
    <w:p w:rsidR="00AF3058" w:rsidRDefault="00AF3058" w:rsidP="00CE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58" w:rsidRDefault="00AF3058" w:rsidP="00CE44F8">
      <w:r>
        <w:separator/>
      </w:r>
    </w:p>
  </w:footnote>
  <w:footnote w:type="continuationSeparator" w:id="0">
    <w:p w:rsidR="00AF3058" w:rsidRDefault="00AF3058" w:rsidP="00CE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C1F"/>
    <w:multiLevelType w:val="hybridMultilevel"/>
    <w:tmpl w:val="E9BA441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9811968"/>
    <w:multiLevelType w:val="multilevel"/>
    <w:tmpl w:val="D326D4E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1473" w:hanging="480"/>
      </w:pPr>
      <w:rPr>
        <w:rFonts w:hint="eastAsia"/>
      </w:rPr>
    </w:lvl>
    <w:lvl w:ilvl="2">
      <w:start w:val="1"/>
      <w:numFmt w:val="none"/>
      <w:lvlText w:val="1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52420101"/>
    <w:multiLevelType w:val="hybridMultilevel"/>
    <w:tmpl w:val="D2F6DE56"/>
    <w:lvl w:ilvl="0" w:tplc="3774BA3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B052FE"/>
    <w:multiLevelType w:val="hybridMultilevel"/>
    <w:tmpl w:val="C972D778"/>
    <w:lvl w:ilvl="0" w:tplc="FD5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12"/>
    <w:rsid w:val="000E0046"/>
    <w:rsid w:val="0012158C"/>
    <w:rsid w:val="001E5488"/>
    <w:rsid w:val="00220BC2"/>
    <w:rsid w:val="00280F1F"/>
    <w:rsid w:val="00291B18"/>
    <w:rsid w:val="002D7750"/>
    <w:rsid w:val="00371747"/>
    <w:rsid w:val="00377DC6"/>
    <w:rsid w:val="00434654"/>
    <w:rsid w:val="004D2B5F"/>
    <w:rsid w:val="005D20D5"/>
    <w:rsid w:val="00621C30"/>
    <w:rsid w:val="00651238"/>
    <w:rsid w:val="0066706E"/>
    <w:rsid w:val="00700372"/>
    <w:rsid w:val="007613D1"/>
    <w:rsid w:val="007C301D"/>
    <w:rsid w:val="007E2031"/>
    <w:rsid w:val="008205E5"/>
    <w:rsid w:val="0084302A"/>
    <w:rsid w:val="0088595C"/>
    <w:rsid w:val="008F4603"/>
    <w:rsid w:val="00A95B92"/>
    <w:rsid w:val="00AF3058"/>
    <w:rsid w:val="00B45298"/>
    <w:rsid w:val="00B7276B"/>
    <w:rsid w:val="00BB3767"/>
    <w:rsid w:val="00CE44F8"/>
    <w:rsid w:val="00E06CC1"/>
    <w:rsid w:val="00EA50B5"/>
    <w:rsid w:val="00F32D6B"/>
    <w:rsid w:val="00F87E12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4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台北市立聯合醫院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謝宜玲</dc:creator>
  <cp:lastModifiedBy>謝宜玲</cp:lastModifiedBy>
  <cp:revision>2</cp:revision>
  <dcterms:created xsi:type="dcterms:W3CDTF">2018-02-01T03:49:00Z</dcterms:created>
  <dcterms:modified xsi:type="dcterms:W3CDTF">2018-02-01T03:49:00Z</dcterms:modified>
</cp:coreProperties>
</file>