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E" w:rsidRPr="00FF311B" w:rsidRDefault="006F616E" w:rsidP="006F616E">
      <w:pPr>
        <w:spacing w:line="0" w:lineRule="atLeast"/>
        <w:ind w:left="1"/>
        <w:jc w:val="center"/>
        <w:rPr>
          <w:rFonts w:ascii="標楷體" w:eastAsia="標楷體" w:hAnsi="標楷體"/>
          <w:sz w:val="32"/>
          <w:szCs w:val="32"/>
        </w:rPr>
      </w:pPr>
      <w:r w:rsidRPr="00FF311B">
        <w:rPr>
          <w:rFonts w:ascii="標楷體" w:eastAsia="標楷體" w:hAnsi="標楷體" w:hint="eastAsia"/>
          <w:b/>
          <w:bCs/>
          <w:sz w:val="28"/>
          <w:szCs w:val="28"/>
        </w:rPr>
        <w:t>臺北市政府社會局辦理違反商業團體法事件統一裁罰基準</w:t>
      </w:r>
    </w:p>
    <w:p w:rsidR="006F616E" w:rsidRPr="00FF311B" w:rsidRDefault="006F616E" w:rsidP="006F616E">
      <w:pPr>
        <w:spacing w:line="0" w:lineRule="atLeast"/>
        <w:ind w:left="1"/>
        <w:jc w:val="center"/>
        <w:rPr>
          <w:rFonts w:ascii="標楷體" w:eastAsia="標楷體" w:hAnsi="標楷體"/>
          <w:sz w:val="32"/>
          <w:szCs w:val="32"/>
        </w:rPr>
      </w:pPr>
    </w:p>
    <w:p w:rsidR="006F616E" w:rsidRPr="00FF311B" w:rsidRDefault="006F616E" w:rsidP="006F616E">
      <w:pPr>
        <w:adjustRightIn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  <w:u w:val="single"/>
        </w:rPr>
      </w:pPr>
      <w:r w:rsidRPr="00FF311B">
        <w:rPr>
          <w:rFonts w:ascii="標楷體" w:eastAsia="標楷體" w:hAnsi="標楷體" w:hint="eastAsia"/>
          <w:sz w:val="28"/>
          <w:szCs w:val="28"/>
        </w:rPr>
        <w:t>一、臺北市政府社會局（以下簡稱本局）為處理違反商業團體法事件</w:t>
      </w:r>
      <w:r w:rsidRPr="002276C8">
        <w:rPr>
          <w:rFonts w:ascii="標楷體" w:eastAsia="標楷體" w:hAnsi="標楷體" w:hint="eastAsia"/>
          <w:sz w:val="28"/>
          <w:szCs w:val="28"/>
        </w:rPr>
        <w:t>，依</w:t>
      </w:r>
      <w:r w:rsidRPr="00FF311B">
        <w:rPr>
          <w:rFonts w:ascii="標楷體" w:eastAsia="標楷體" w:hAnsi="標楷體" w:hint="eastAsia"/>
          <w:sz w:val="28"/>
          <w:szCs w:val="28"/>
        </w:rPr>
        <w:t>法而為</w:t>
      </w:r>
      <w:proofErr w:type="gramStart"/>
      <w:r w:rsidRPr="00FF311B">
        <w:rPr>
          <w:rFonts w:ascii="標楷體" w:eastAsia="標楷體" w:hAnsi="標楷體" w:hint="eastAsia"/>
          <w:sz w:val="28"/>
          <w:szCs w:val="28"/>
        </w:rPr>
        <w:t>妥適及有效</w:t>
      </w:r>
      <w:proofErr w:type="gramEnd"/>
      <w:r w:rsidRPr="00FF311B">
        <w:rPr>
          <w:rFonts w:ascii="標楷體" w:eastAsia="標楷體" w:hAnsi="標楷體" w:hint="eastAsia"/>
          <w:sz w:val="28"/>
          <w:szCs w:val="28"/>
        </w:rPr>
        <w:t>之裁處，建立執行之公平性，以期減少爭議及行政爭</w:t>
      </w:r>
      <w:proofErr w:type="gramStart"/>
      <w:r w:rsidRPr="00FF311B">
        <w:rPr>
          <w:rFonts w:ascii="標楷體" w:eastAsia="標楷體" w:hAnsi="標楷體" w:hint="eastAsia"/>
          <w:sz w:val="28"/>
          <w:szCs w:val="28"/>
        </w:rPr>
        <w:t>訟</w:t>
      </w:r>
      <w:proofErr w:type="gramEnd"/>
      <w:r w:rsidRPr="00FF311B">
        <w:rPr>
          <w:rFonts w:ascii="標楷體" w:eastAsia="標楷體" w:hAnsi="標楷體" w:hint="eastAsia"/>
          <w:sz w:val="28"/>
          <w:szCs w:val="28"/>
        </w:rPr>
        <w:t>之行政成本，提升公信力，特訂定本基準。</w:t>
      </w:r>
    </w:p>
    <w:p w:rsidR="006F616E" w:rsidRPr="00FF311B" w:rsidRDefault="006F616E" w:rsidP="006F616E">
      <w:pPr>
        <w:rPr>
          <w:rFonts w:ascii="標楷體" w:eastAsia="標楷體" w:hAnsi="標楷體"/>
          <w:sz w:val="28"/>
          <w:szCs w:val="28"/>
        </w:rPr>
      </w:pPr>
      <w:r w:rsidRPr="00FF311B">
        <w:rPr>
          <w:rFonts w:ascii="標楷體" w:eastAsia="標楷體" w:hAnsi="標楷體" w:hint="eastAsia"/>
          <w:sz w:val="28"/>
          <w:szCs w:val="28"/>
        </w:rPr>
        <w:t>二、</w:t>
      </w:r>
      <w:r w:rsidRPr="00FF311B">
        <w:rPr>
          <w:rFonts w:ascii="標楷體" w:eastAsia="標楷體" w:hAnsi="標楷體"/>
          <w:sz w:val="28"/>
          <w:szCs w:val="28"/>
        </w:rPr>
        <w:t>行政罰法規定有關不罰、免罰與裁處之審酌加減及擴張參考表：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67"/>
        <w:gridCol w:w="540"/>
        <w:gridCol w:w="3780"/>
        <w:gridCol w:w="1620"/>
        <w:gridCol w:w="1913"/>
      </w:tblGrid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審酌事項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內容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條文</w:t>
            </w:r>
          </w:p>
        </w:tc>
        <w:tc>
          <w:tcPr>
            <w:tcW w:w="1913" w:type="dxa"/>
            <w:shd w:val="clear" w:color="auto" w:fill="auto"/>
          </w:tcPr>
          <w:p w:rsidR="006F616E" w:rsidRPr="00290604" w:rsidRDefault="006F616E" w:rsidP="007142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不予處罰部分</w:t>
            </w: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違反行政法上義務之行為非出於故意或過失者，不予處罰。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第七條第一項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未滿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十四歲人之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行為，不予處罰。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第九條第一項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行為時因精神障礙或其他心智缺陷，致不能辨識其行為違法或欠缺依其辨識而行為之能力者，不予處罰。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第九條第3項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依法令之行為，不予處罰。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第十一條第一項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依所屬上級公務員職務命令之行為，不予處罰。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第十一條第二項本文</w:t>
            </w:r>
          </w:p>
        </w:tc>
        <w:tc>
          <w:tcPr>
            <w:tcW w:w="1913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明知職務命令違法，而未依法定程序向該上級公務員陳述意見者，不在此限。</w:t>
            </w: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對於現在不法之侵害，而出於防衛自己或他人權利之行為，不予處罰。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第十二條本文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因避免自己或他人生命、身體、自由、名譽或財產之緊急危難而出於不得已之行為，不予處罰。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第十三條本文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vMerge w:val="restart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得免部分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不得因不知法規而免除行政處罰責任。但按其情節，得免除其處罰。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第八條但書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本法未定有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最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高額新臺幣(以下同)3,000元以下罰鍰處罰之規定，不得援引第一九條規定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遽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予免罰。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第十九條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防衛行為過當者，得免除其處罰。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第十二條但書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避難行為過當者，得免除其處罰。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第十三條但書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得減輕</w:t>
            </w: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部分</w:t>
            </w: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不得因不知法規而免除行政處罰責任。但</w:t>
            </w: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按其情節，得減輕其處罰。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第八條但書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裁處之罰鍰不得逾</w:t>
            </w: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法定罰鍰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最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高額之三分之一，亦不得低於法定罰鍰最低金額之三分之一。</w:t>
            </w: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防衛行為過當者，得減輕其處罰。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第十二條但書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避難行為過當者，得減輕其處罰。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第十三條但書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十四歲以上未滿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十八歲人之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行為，得減輕其處罰。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第九條第二項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裁處之罰鍰不得逾法定罰鍰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最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高額之二分之一，亦不得低於法定罰鍰最低金額之二分之一。</w:t>
            </w:r>
          </w:p>
        </w:tc>
      </w:tr>
      <w:tr w:rsidR="006F616E" w:rsidRPr="00290604" w:rsidTr="007142EF">
        <w:trPr>
          <w:trHeight w:val="253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行為時因精神障礙或其他心智缺陷，致其辨識行為違法或依其辨識而行為之能力，顯著減低者，得減輕處罰。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第九條第四項</w:t>
            </w:r>
          </w:p>
        </w:tc>
        <w:tc>
          <w:tcPr>
            <w:tcW w:w="19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rPr>
          <w:trHeight w:val="1790"/>
        </w:trPr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967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得加重部分</w:t>
            </w: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所得之利益超過法定罰鍰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最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高額者，得於所得利益之範圍內酌量加重，不受法定罰鍰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最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高額之限制。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第十八條第二項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得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併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罰部分</w:t>
            </w: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私法人之董事或其他有代表權之人，因執行其職務或為私法人之利益為行為，致使私法人違反行政法上義務應受處罰者，該行為人如有故意或重大過失時，除法律或自治條例另有規定外，應並受同一規定罰鍰之處罰。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惟所處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之罰鍰，不得逾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百萬元。但其所得之利益逾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百萬元者，得於其所得利益之範圍內裁處之。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第十五條第一項、第三項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私法人之職員、受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僱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人或從業人員，因執行其職務或為私法人之利益為行為，致使私法人違反行政法上義務應受處罰者，私法人之董事或其他有代表權之人，如對該行政法上義務之違反，因故意或重大過失，未盡其防止義務時，除法律或自治條例另有規定外，應並受同一規定罰鍰之處罰。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惟所處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之罰鍰，不得逾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百萬元。但其所得之利益逾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百萬元者，得於其所得利益之範圍內裁處之。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第十五條第二項、第三項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設有代表人或管理人之非法人團體，或法人以外之其他私法組織，違反行政法上義</w:t>
            </w: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務者，得按個案情節，依前開第十七項或第十八項之內容裁處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併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罰（即</w:t>
            </w:r>
            <w:proofErr w:type="gramStart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用行政罰法第十五條規定）。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第十六條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得追繳部分</w:t>
            </w: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為他人利益而實施行為，致使他人違反行政法上義務應受處罰者，該行為人因其行為受有財產上利益而未受處罰時，得於其所受財產上利益價值範圍內，酌予追繳。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第二十條第一項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967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行為人違反行政法上義務應受處罰，他人因該行為受有財產上利益而未受處罰時，得於其所受財產上利益價值範圍內，酌予追繳。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第二十條第二項</w:t>
            </w:r>
          </w:p>
        </w:tc>
        <w:tc>
          <w:tcPr>
            <w:tcW w:w="1913" w:type="dxa"/>
            <w:vMerge/>
            <w:shd w:val="clear" w:color="auto" w:fill="auto"/>
          </w:tcPr>
          <w:p w:rsidR="006F616E" w:rsidRPr="00290604" w:rsidRDefault="006F616E" w:rsidP="007142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16E" w:rsidRPr="00290604" w:rsidTr="007142EF"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967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審酌部分</w:t>
            </w:r>
          </w:p>
        </w:tc>
        <w:tc>
          <w:tcPr>
            <w:tcW w:w="54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 xml:space="preserve">裁處罰鍰，應審酌違反行政法上義務行為應受責難程度、所生影響及因違反行政法上義務所得之利益，並得考量受處罰者之資力。                                 </w:t>
            </w:r>
          </w:p>
        </w:tc>
        <w:tc>
          <w:tcPr>
            <w:tcW w:w="1620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0604">
              <w:rPr>
                <w:rFonts w:ascii="標楷體" w:eastAsia="標楷體" w:hAnsi="標楷體" w:hint="eastAsia"/>
                <w:sz w:val="20"/>
                <w:szCs w:val="20"/>
              </w:rPr>
              <w:t>第十八條第一項</w:t>
            </w:r>
          </w:p>
        </w:tc>
        <w:tc>
          <w:tcPr>
            <w:tcW w:w="1913" w:type="dxa"/>
            <w:shd w:val="clear" w:color="auto" w:fill="auto"/>
          </w:tcPr>
          <w:p w:rsidR="006F616E" w:rsidRPr="00290604" w:rsidRDefault="006F616E" w:rsidP="007142E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F616E" w:rsidRPr="00FF311B" w:rsidRDefault="006F616E" w:rsidP="006F616E">
      <w:pPr>
        <w:rPr>
          <w:rFonts w:ascii="標楷體" w:eastAsia="標楷體" w:hAnsi="標楷體"/>
          <w:sz w:val="28"/>
          <w:szCs w:val="28"/>
        </w:rPr>
      </w:pPr>
      <w:r w:rsidRPr="00FF311B">
        <w:rPr>
          <w:rFonts w:ascii="標楷體" w:eastAsia="標楷體" w:hAnsi="標楷體" w:hint="eastAsia"/>
          <w:sz w:val="28"/>
          <w:szCs w:val="28"/>
        </w:rPr>
        <w:t>三、本局處理違反商業團體法事件，統一處理及裁罰基準如下表：</w:t>
      </w:r>
    </w:p>
    <w:tbl>
      <w:tblPr>
        <w:tblpPr w:leftFromText="180" w:rightFromText="180" w:vertAnchor="text" w:horzAnchor="margin" w:tblpY="171"/>
        <w:tblOverlap w:val="never"/>
        <w:tblW w:w="9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2197"/>
        <w:gridCol w:w="1473"/>
        <w:gridCol w:w="1984"/>
        <w:gridCol w:w="3119"/>
      </w:tblGrid>
      <w:tr w:rsidR="009D2426" w:rsidRPr="009D2426" w:rsidTr="009D2426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11" w:type="dxa"/>
            <w:vAlign w:val="center"/>
          </w:tcPr>
          <w:p w:rsidR="009D2426" w:rsidRPr="009D2426" w:rsidRDefault="009D2426" w:rsidP="009D242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bookmarkStart w:id="0" w:name="_GoBack"/>
            <w:bookmarkEnd w:id="0"/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</w:p>
          <w:p w:rsidR="009D2426" w:rsidRPr="009D2426" w:rsidRDefault="009D2426" w:rsidP="009D242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2197" w:type="dxa"/>
            <w:vAlign w:val="center"/>
          </w:tcPr>
          <w:p w:rsidR="009D2426" w:rsidRPr="009D2426" w:rsidRDefault="009D2426" w:rsidP="009D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違反事件</w:t>
            </w:r>
          </w:p>
        </w:tc>
        <w:tc>
          <w:tcPr>
            <w:tcW w:w="1473" w:type="dxa"/>
            <w:vAlign w:val="center"/>
          </w:tcPr>
          <w:p w:rsidR="009D2426" w:rsidRPr="009D2426" w:rsidRDefault="009D2426" w:rsidP="009D242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依據</w:t>
            </w:r>
          </w:p>
        </w:tc>
        <w:tc>
          <w:tcPr>
            <w:tcW w:w="1984" w:type="dxa"/>
            <w:vAlign w:val="center"/>
          </w:tcPr>
          <w:p w:rsidR="009D2426" w:rsidRPr="009D2426" w:rsidRDefault="009D2426" w:rsidP="009D242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法定罰鍰額度</w:t>
            </w:r>
            <w:proofErr w:type="gramStart"/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新臺幣：元</w:t>
            </w:r>
            <w:proofErr w:type="gramStart"/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119" w:type="dxa"/>
            <w:vAlign w:val="center"/>
          </w:tcPr>
          <w:p w:rsidR="009D2426" w:rsidRPr="009D2426" w:rsidRDefault="009D2426" w:rsidP="009D242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統一處理及裁罰基準</w:t>
            </w:r>
          </w:p>
        </w:tc>
      </w:tr>
      <w:tr w:rsidR="009D2426" w:rsidRPr="009D2426" w:rsidTr="009D2426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611" w:type="dxa"/>
            <w:vAlign w:val="center"/>
          </w:tcPr>
          <w:p w:rsidR="009D2426" w:rsidRPr="009D2426" w:rsidRDefault="009D2426" w:rsidP="009D242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9D2426" w:rsidRPr="009D2426" w:rsidRDefault="009D2426" w:rsidP="009D242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公司、行號經商業團體書面通知限期入會，逾期仍</w:t>
            </w:r>
            <w:proofErr w:type="gramStart"/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入會，再經主管機關通知於三個月內入會，逾期仍不入會者</w:t>
            </w:r>
          </w:p>
        </w:tc>
        <w:tc>
          <w:tcPr>
            <w:tcW w:w="1473" w:type="dxa"/>
            <w:vAlign w:val="center"/>
          </w:tcPr>
          <w:p w:rsidR="009D2426" w:rsidRPr="009D2426" w:rsidRDefault="009D2426" w:rsidP="009D242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商業團體法第六十三條第一項</w:t>
            </w:r>
          </w:p>
        </w:tc>
        <w:tc>
          <w:tcPr>
            <w:tcW w:w="1984" w:type="dxa"/>
            <w:vAlign w:val="center"/>
          </w:tcPr>
          <w:p w:rsidR="009D2426" w:rsidRPr="009D2426" w:rsidRDefault="009D2426" w:rsidP="009D242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2426">
              <w:rPr>
                <w:rFonts w:ascii="標楷體" w:eastAsia="標楷體" w:hAnsi="標楷體"/>
                <w:sz w:val="20"/>
                <w:szCs w:val="20"/>
              </w:rPr>
              <w:t>處</w:t>
            </w: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2426">
              <w:rPr>
                <w:rFonts w:ascii="標楷體" w:eastAsia="標楷體" w:hAnsi="標楷體"/>
                <w:sz w:val="20"/>
                <w:szCs w:val="20"/>
              </w:rPr>
              <w:t>千五百元以上、</w:t>
            </w: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2426">
              <w:rPr>
                <w:rFonts w:ascii="標楷體" w:eastAsia="標楷體" w:hAnsi="標楷體"/>
                <w:sz w:val="20"/>
                <w:szCs w:val="20"/>
              </w:rPr>
              <w:t>萬元以下</w:t>
            </w:r>
          </w:p>
        </w:tc>
        <w:tc>
          <w:tcPr>
            <w:tcW w:w="3119" w:type="dxa"/>
            <w:vAlign w:val="center"/>
          </w:tcPr>
          <w:p w:rsidR="009D2426" w:rsidRPr="009D2426" w:rsidRDefault="009D2426" w:rsidP="009D2426">
            <w:pPr>
              <w:spacing w:line="0" w:lineRule="atLeast"/>
              <w:ind w:left="254" w:hangingChars="127" w:hanging="254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1.第一次處一千五百元至五千元</w:t>
            </w:r>
          </w:p>
          <w:p w:rsidR="009D2426" w:rsidRPr="009D2426" w:rsidRDefault="009D2426" w:rsidP="009D2426">
            <w:pPr>
              <w:spacing w:line="0" w:lineRule="atLeast"/>
              <w:ind w:left="254" w:hangingChars="127" w:hanging="254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2.第二次處三千元至七千元</w:t>
            </w:r>
          </w:p>
          <w:p w:rsidR="009D2426" w:rsidRPr="009D2426" w:rsidRDefault="009D2426" w:rsidP="009D2426">
            <w:pPr>
              <w:spacing w:line="0" w:lineRule="atLeast"/>
              <w:ind w:left="254" w:hangingChars="127" w:hanging="254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3.第三次</w:t>
            </w:r>
            <w:proofErr w:type="gramStart"/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以上處</w:t>
            </w:r>
            <w:proofErr w:type="gramEnd"/>
            <w:r w:rsidRPr="009D2426">
              <w:rPr>
                <w:rFonts w:ascii="標楷體" w:eastAsia="標楷體" w:hAnsi="標楷體" w:hint="eastAsia"/>
                <w:sz w:val="20"/>
                <w:szCs w:val="20"/>
              </w:rPr>
              <w:t>五千元至一萬元</w:t>
            </w:r>
          </w:p>
        </w:tc>
      </w:tr>
    </w:tbl>
    <w:p w:rsidR="006F616E" w:rsidRPr="009D2426" w:rsidRDefault="006F616E" w:rsidP="006F616E">
      <w:pPr>
        <w:jc w:val="both"/>
        <w:rPr>
          <w:rFonts w:ascii="標楷體" w:eastAsia="標楷體" w:hAnsi="標楷體"/>
          <w:sz w:val="32"/>
        </w:rPr>
      </w:pPr>
    </w:p>
    <w:p w:rsidR="00D26E34" w:rsidRPr="006F616E" w:rsidRDefault="00D26E34"/>
    <w:sectPr w:rsidR="00D26E34" w:rsidRPr="006F61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70" w:rsidRDefault="00DD6E70" w:rsidP="009D2426">
      <w:r>
        <w:separator/>
      </w:r>
    </w:p>
  </w:endnote>
  <w:endnote w:type="continuationSeparator" w:id="0">
    <w:p w:rsidR="00DD6E70" w:rsidRDefault="00DD6E70" w:rsidP="009D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70" w:rsidRDefault="00DD6E70" w:rsidP="009D2426">
      <w:r>
        <w:separator/>
      </w:r>
    </w:p>
  </w:footnote>
  <w:footnote w:type="continuationSeparator" w:id="0">
    <w:p w:rsidR="00DD6E70" w:rsidRDefault="00DD6E70" w:rsidP="009D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E"/>
    <w:rsid w:val="006F616E"/>
    <w:rsid w:val="009D2426"/>
    <w:rsid w:val="00CB322B"/>
    <w:rsid w:val="00D26E34"/>
    <w:rsid w:val="00D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24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42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24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4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高銓成</dc:creator>
  <cp:lastModifiedBy>user</cp:lastModifiedBy>
  <cp:revision>2</cp:revision>
  <dcterms:created xsi:type="dcterms:W3CDTF">2015-07-16T07:31:00Z</dcterms:created>
  <dcterms:modified xsi:type="dcterms:W3CDTF">2015-07-16T07:31:00Z</dcterms:modified>
</cp:coreProperties>
</file>