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62BF" w:rsidRPr="00AA75E7" w:rsidRDefault="00C762BF" w:rsidP="00C762BF">
      <w:pPr>
        <w:spacing w:line="480" w:lineRule="exact"/>
        <w:rPr>
          <w:rFonts w:ascii="Palatino Linotype" w:eastAsia="標楷體" w:hAnsi="Palatino Linotype" w:cs="Times New Roman"/>
          <w:b/>
          <w:sz w:val="36"/>
          <w:szCs w:val="36"/>
        </w:rPr>
      </w:pPr>
      <w:r>
        <w:rPr>
          <w:rFonts w:ascii="Palatino Linotype" w:eastAsia="標楷體" w:hAnsi="Palatino Linotype" w:cs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0728477" wp14:editId="6450919C">
                <wp:simplePos x="0" y="0"/>
                <wp:positionH relativeFrom="page">
                  <wp:posOffset>1066800</wp:posOffset>
                </wp:positionH>
                <wp:positionV relativeFrom="page">
                  <wp:posOffset>914400</wp:posOffset>
                </wp:positionV>
                <wp:extent cx="5562600" cy="418465"/>
                <wp:effectExtent l="0" t="0" r="0" b="6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18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84pt;margin-top:1in;width:438pt;height:3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" fillcolor="#dfdfdf" stroked="f" strokecolor="#e5e5e5">
                <w10:wrap anchorx="page" anchory="page"/>
                <w10:anchorlock/>
              </v:rect>
            </w:pict>
          </mc:Fallback>
        </mc:AlternateContent>
      </w:r>
      <w:r w:rsidRPr="00AA75E7">
        <w:rPr>
          <w:rFonts w:ascii="Palatino Linotype" w:eastAsia="標楷體" w:hAnsi="標楷體" w:cs="Times New Roman" w:hint="eastAsia"/>
          <w:b/>
          <w:color w:val="000000"/>
          <w:sz w:val="36"/>
          <w:szCs w:val="36"/>
        </w:rPr>
        <w:t>臺北市政府教育局</w:t>
      </w:r>
      <w:r w:rsidRPr="00AA75E7">
        <w:rPr>
          <w:rFonts w:ascii="Palatino Linotype" w:eastAsia="標楷體" w:hAnsi="標楷體" w:cs="Times New Roman"/>
          <w:b/>
          <w:color w:val="000000"/>
          <w:sz w:val="36"/>
          <w:szCs w:val="36"/>
        </w:rPr>
        <w:t>新聞</w:t>
      </w:r>
      <w:r w:rsidRPr="00AA75E7">
        <w:rPr>
          <w:rFonts w:ascii="Palatino Linotype" w:eastAsia="標楷體" w:hAnsi="標楷體" w:cs="Times New Roman" w:hint="eastAsia"/>
          <w:b/>
          <w:color w:val="000000"/>
          <w:sz w:val="36"/>
          <w:szCs w:val="36"/>
        </w:rPr>
        <w:t>事後</w:t>
      </w:r>
      <w:r w:rsidRPr="00AA75E7">
        <w:rPr>
          <w:rFonts w:ascii="Palatino Linotype" w:eastAsia="標楷體" w:hAnsi="標楷體" w:cs="Times New Roman"/>
          <w:b/>
          <w:color w:val="000000"/>
          <w:sz w:val="36"/>
          <w:szCs w:val="36"/>
        </w:rPr>
        <w:t>稿</w:t>
      </w:r>
      <w:r w:rsidRPr="00AA75E7">
        <w:rPr>
          <w:rFonts w:ascii="Palatino Linotype" w:eastAsia="標楷體" w:hAnsi="標楷體" w:cs="Times New Roman"/>
          <w:color w:val="0000FF"/>
          <w:sz w:val="36"/>
          <w:szCs w:val="36"/>
        </w:rPr>
        <w:t>請轉交文教記者</w:t>
      </w:r>
    </w:p>
    <w:p w:rsidR="00C762BF" w:rsidRPr="00AA75E7" w:rsidRDefault="00C762BF" w:rsidP="00C762BF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AA75E7">
        <w:rPr>
          <w:rFonts w:ascii="標楷體" w:eastAsia="標楷體" w:hAnsi="標楷體" w:cs="Times New Roman"/>
          <w:szCs w:val="24"/>
        </w:rPr>
        <w:t>單位：</w:t>
      </w:r>
      <w:r w:rsidRPr="00AA75E7">
        <w:rPr>
          <w:rFonts w:ascii="標楷體" w:eastAsia="標楷體" w:hAnsi="標楷體" w:cs="Times New Roman" w:hint="eastAsia"/>
          <w:szCs w:val="24"/>
        </w:rPr>
        <w:t>臺北市教師研習中心</w:t>
      </w:r>
    </w:p>
    <w:p w:rsidR="00C762BF" w:rsidRPr="00AA75E7" w:rsidRDefault="00C762BF" w:rsidP="00C762BF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AA75E7">
        <w:rPr>
          <w:rFonts w:ascii="標楷體" w:eastAsia="標楷體" w:hAnsi="標楷體" w:cs="Times New Roman"/>
          <w:szCs w:val="24"/>
        </w:rPr>
        <w:t>地址：</w:t>
      </w:r>
      <w:r>
        <w:rPr>
          <w:rFonts w:ascii="標楷體" w:eastAsia="標楷體" w:hAnsi="標楷體" w:cs="Times New Roman" w:hint="eastAsia"/>
          <w:szCs w:val="24"/>
        </w:rPr>
        <w:t>臺北市陽明山建國街2</w:t>
      </w:r>
      <w:r w:rsidRPr="00AA75E7">
        <w:rPr>
          <w:rFonts w:ascii="標楷體" w:eastAsia="標楷體" w:hAnsi="標楷體" w:cs="Times New Roman" w:hint="eastAsia"/>
          <w:szCs w:val="24"/>
        </w:rPr>
        <w:t>號</w:t>
      </w:r>
    </w:p>
    <w:p w:rsidR="00C762BF" w:rsidRPr="00AA75E7" w:rsidRDefault="00C762BF" w:rsidP="00C762BF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AA75E7">
        <w:rPr>
          <w:rFonts w:ascii="標楷體" w:eastAsia="標楷體" w:hAnsi="標楷體" w:cs="Times New Roman" w:hint="eastAsia"/>
          <w:szCs w:val="24"/>
        </w:rPr>
        <w:t>業務</w:t>
      </w:r>
      <w:r w:rsidRPr="00AA75E7">
        <w:rPr>
          <w:rFonts w:ascii="標楷體" w:eastAsia="標楷體" w:hAnsi="標楷體" w:cs="Times New Roman"/>
          <w:szCs w:val="24"/>
        </w:rPr>
        <w:t>聯絡</w:t>
      </w:r>
      <w:r w:rsidRPr="00AA75E7">
        <w:rPr>
          <w:rFonts w:ascii="標楷體" w:eastAsia="標楷體" w:hAnsi="標楷體" w:cs="Times New Roman" w:hint="eastAsia"/>
          <w:szCs w:val="24"/>
        </w:rPr>
        <w:t>人：任光祖</w:t>
      </w:r>
      <w:proofErr w:type="gramStart"/>
      <w:r w:rsidRPr="00AA75E7">
        <w:rPr>
          <w:rFonts w:ascii="標楷體" w:eastAsia="標楷體" w:hAnsi="標楷體" w:cs="Times New Roman" w:hint="eastAsia"/>
          <w:szCs w:val="24"/>
        </w:rPr>
        <w:t>祕</w:t>
      </w:r>
      <w:proofErr w:type="gramEnd"/>
      <w:r w:rsidRPr="00AA75E7">
        <w:rPr>
          <w:rFonts w:ascii="標楷體" w:eastAsia="標楷體" w:hAnsi="標楷體" w:cs="Times New Roman" w:hint="eastAsia"/>
          <w:szCs w:val="24"/>
        </w:rPr>
        <w:t>書 2861-6942轉202；0922-717195</w:t>
      </w:r>
    </w:p>
    <w:p w:rsidR="00C762BF" w:rsidRPr="00AA75E7" w:rsidRDefault="00D238DA" w:rsidP="00C762BF">
      <w:pPr>
        <w:spacing w:line="480" w:lineRule="exact"/>
        <w:ind w:leftChars="600" w:left="14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人事室吳季琪</w:t>
      </w:r>
      <w:r w:rsidR="00C762BF" w:rsidRPr="00AA75E7">
        <w:rPr>
          <w:rFonts w:ascii="標楷體" w:eastAsia="標楷體" w:hAnsi="標楷體" w:cs="Times New Roman" w:hint="eastAsia"/>
          <w:szCs w:val="24"/>
        </w:rPr>
        <w:t>組</w:t>
      </w:r>
      <w:r>
        <w:rPr>
          <w:rFonts w:ascii="標楷體" w:eastAsia="標楷體" w:hAnsi="標楷體" w:cs="Times New Roman" w:hint="eastAsia"/>
          <w:szCs w:val="24"/>
        </w:rPr>
        <w:t>員</w:t>
      </w:r>
      <w:r w:rsidR="00C762BF" w:rsidRPr="00AA75E7">
        <w:rPr>
          <w:rFonts w:ascii="標楷體" w:eastAsia="標楷體" w:hAnsi="標楷體" w:cs="Times New Roman" w:hint="eastAsia"/>
          <w:szCs w:val="24"/>
        </w:rPr>
        <w:t xml:space="preserve"> 2861-6942轉2</w:t>
      </w:r>
      <w:r>
        <w:rPr>
          <w:rFonts w:ascii="標楷體" w:eastAsia="標楷體" w:hAnsi="標楷體" w:cs="Times New Roman" w:hint="eastAsia"/>
          <w:szCs w:val="24"/>
        </w:rPr>
        <w:t>6</w:t>
      </w:r>
      <w:r w:rsidR="00C762BF" w:rsidRPr="00AA75E7">
        <w:rPr>
          <w:rFonts w:ascii="標楷體" w:eastAsia="標楷體" w:hAnsi="標楷體" w:cs="Times New Roman" w:hint="eastAsia"/>
          <w:szCs w:val="24"/>
        </w:rPr>
        <w:t>0；</w:t>
      </w:r>
      <w:r>
        <w:rPr>
          <w:rFonts w:ascii="標楷體" w:eastAsia="標楷體" w:hAnsi="標楷體" w:cs="Times New Roman" w:hint="eastAsia"/>
          <w:szCs w:val="24"/>
        </w:rPr>
        <w:t>0920</w:t>
      </w:r>
      <w:r w:rsidR="00C762BF" w:rsidRPr="00AA75E7">
        <w:rPr>
          <w:rFonts w:ascii="標楷體" w:eastAsia="標楷體" w:hAnsi="標楷體" w:cs="Times New Roman" w:hint="eastAsia"/>
          <w:szCs w:val="24"/>
        </w:rPr>
        <w:t>-</w:t>
      </w:r>
      <w:r>
        <w:rPr>
          <w:rFonts w:ascii="標楷體" w:eastAsia="標楷體" w:hAnsi="標楷體" w:cs="Times New Roman" w:hint="eastAsia"/>
          <w:szCs w:val="24"/>
        </w:rPr>
        <w:t>462008</w:t>
      </w:r>
    </w:p>
    <w:p w:rsidR="00C762BF" w:rsidRPr="00AA75E7" w:rsidRDefault="00C762BF" w:rsidP="00C762BF">
      <w:pPr>
        <w:spacing w:line="480" w:lineRule="exact"/>
        <w:rPr>
          <w:rFonts w:ascii="標楷體" w:eastAsia="標楷體" w:hAnsi="標楷體" w:cs="Times New Roman"/>
          <w:szCs w:val="24"/>
        </w:rPr>
      </w:pPr>
    </w:p>
    <w:p w:rsidR="00C762BF" w:rsidRPr="00AA75E7" w:rsidRDefault="00C762BF" w:rsidP="00C762BF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A75E7">
        <w:rPr>
          <w:rFonts w:ascii="標楷體" w:eastAsia="標楷體" w:hAnsi="標楷體" w:cs="Times New Roman"/>
          <w:sz w:val="28"/>
          <w:szCs w:val="28"/>
        </w:rPr>
        <w:t>【</w:t>
      </w:r>
      <w:proofErr w:type="gramEnd"/>
      <w:r w:rsidRPr="006521E3">
        <w:rPr>
          <w:rFonts w:ascii="標楷體" w:eastAsia="標楷體" w:hAnsi="標楷體" w:cs="Times New Roman"/>
          <w:b/>
          <w:sz w:val="28"/>
          <w:szCs w:val="28"/>
        </w:rPr>
        <w:t>發稿日期</w:t>
      </w:r>
      <w:r w:rsidRPr="006521E3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="00D238DA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AA75E7">
        <w:rPr>
          <w:rFonts w:ascii="標楷體" w:eastAsia="標楷體" w:hAnsi="標楷體" w:cs="Times New Roman"/>
          <w:sz w:val="28"/>
          <w:szCs w:val="28"/>
        </w:rPr>
        <w:t>年</w:t>
      </w:r>
      <w:r w:rsidRPr="00AA75E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AA75E7"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AA75E7">
        <w:rPr>
          <w:rFonts w:ascii="標楷體" w:eastAsia="標楷體" w:hAnsi="標楷體" w:cs="Times New Roman"/>
          <w:sz w:val="28"/>
          <w:szCs w:val="28"/>
        </w:rPr>
        <w:t>日</w:t>
      </w:r>
      <w:proofErr w:type="gramStart"/>
      <w:r w:rsidRPr="00AA75E7">
        <w:rPr>
          <w:rFonts w:ascii="標楷體" w:eastAsia="標楷體" w:hAnsi="標楷體" w:cs="Times New Roman" w:hint="eastAsia"/>
          <w:sz w:val="28"/>
          <w:szCs w:val="28"/>
        </w:rPr>
        <w:t>】</w:t>
      </w:r>
      <w:proofErr w:type="gramEnd"/>
    </w:p>
    <w:p w:rsidR="00C762BF" w:rsidRDefault="00C762BF" w:rsidP="00C762BF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A75E7">
        <w:rPr>
          <w:rFonts w:ascii="標楷體" w:eastAsia="標楷體" w:hAnsi="標楷體" w:cs="Times New Roman"/>
          <w:szCs w:val="24"/>
        </w:rPr>
        <w:t>【</w:t>
      </w:r>
      <w:proofErr w:type="gramEnd"/>
      <w:r w:rsidRPr="006521E3">
        <w:rPr>
          <w:rFonts w:ascii="標楷體" w:eastAsia="標楷體" w:hAnsi="標楷體" w:cs="Times New Roman"/>
          <w:b/>
          <w:sz w:val="28"/>
          <w:szCs w:val="28"/>
        </w:rPr>
        <w:t>主</w:t>
      </w:r>
      <w:r w:rsidRPr="006521E3">
        <w:rPr>
          <w:rFonts w:ascii="標楷體" w:eastAsia="標楷體" w:hAnsi="標楷體" w:cs="Times New Roman" w:hint="eastAsia"/>
          <w:b/>
          <w:sz w:val="28"/>
          <w:szCs w:val="28"/>
        </w:rPr>
        <w:t xml:space="preserve">　　</w:t>
      </w:r>
      <w:r w:rsidRPr="006521E3">
        <w:rPr>
          <w:rFonts w:ascii="標楷體" w:eastAsia="標楷體" w:hAnsi="標楷體" w:cs="Times New Roman"/>
          <w:b/>
          <w:sz w:val="28"/>
          <w:szCs w:val="28"/>
        </w:rPr>
        <w:t>題</w:t>
      </w:r>
      <w:r w:rsidRPr="006521E3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033502">
        <w:rPr>
          <w:rFonts w:ascii="標楷體" w:eastAsia="標楷體" w:hAnsi="標楷體" w:cs="Times New Roman" w:hint="eastAsia"/>
          <w:sz w:val="28"/>
          <w:szCs w:val="28"/>
        </w:rPr>
        <w:t>與主委有約-歡迎市府研考會陳主委銘</w:t>
      </w:r>
      <w:proofErr w:type="gramStart"/>
      <w:r w:rsidR="00033502">
        <w:rPr>
          <w:rFonts w:ascii="標楷體" w:eastAsia="標楷體" w:hAnsi="標楷體" w:cs="Times New Roman" w:hint="eastAsia"/>
          <w:sz w:val="28"/>
          <w:szCs w:val="28"/>
        </w:rPr>
        <w:t>薰</w:t>
      </w:r>
      <w:proofErr w:type="gramEnd"/>
      <w:r w:rsidR="00033502">
        <w:rPr>
          <w:rFonts w:ascii="標楷體" w:eastAsia="標楷體" w:hAnsi="標楷體" w:cs="Times New Roman" w:hint="eastAsia"/>
          <w:sz w:val="28"/>
          <w:szCs w:val="28"/>
        </w:rPr>
        <w:t>蒞臨中心</w:t>
      </w:r>
      <w:proofErr w:type="gramStart"/>
      <w:r w:rsidRPr="00AA75E7">
        <w:rPr>
          <w:rFonts w:ascii="標楷體" w:eastAsia="標楷體" w:hAnsi="標楷體" w:cs="Times New Roman" w:hint="eastAsia"/>
          <w:sz w:val="28"/>
          <w:szCs w:val="28"/>
        </w:rPr>
        <w:t>】</w:t>
      </w:r>
      <w:proofErr w:type="gramEnd"/>
    </w:p>
    <w:p w:rsidR="00473F95" w:rsidRPr="00473F95" w:rsidRDefault="00473F95" w:rsidP="00C762BF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Pr="00473F95">
        <w:rPr>
          <w:rFonts w:ascii="標楷體" w:eastAsia="標楷體" w:hAnsi="標楷體" w:cs="Times New Roman" w:hint="eastAsia"/>
          <w:b/>
          <w:sz w:val="28"/>
          <w:szCs w:val="28"/>
        </w:rPr>
        <w:t>─</w:t>
      </w:r>
      <w:proofErr w:type="gramEnd"/>
      <w:r w:rsidRPr="00473F95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sz w:val="28"/>
          <w:szCs w:val="28"/>
        </w:rPr>
        <w:t>市府策略地圖與關鍵績效指標</w:t>
      </w:r>
      <w:r w:rsidRPr="00473F95">
        <w:rPr>
          <w:rFonts w:ascii="標楷體" w:eastAsia="標楷體" w:hAnsi="標楷體" w:cs="Times New Roman" w:hint="eastAsia"/>
          <w:sz w:val="28"/>
          <w:szCs w:val="28"/>
        </w:rPr>
        <w:t>」研習</w:t>
      </w:r>
      <w:proofErr w:type="gramStart"/>
      <w:r w:rsidRPr="00473F95">
        <w:rPr>
          <w:rFonts w:ascii="標楷體" w:eastAsia="標楷體" w:hAnsi="標楷體" w:cs="Times New Roman" w:hint="eastAsia"/>
          <w:b/>
          <w:sz w:val="28"/>
          <w:szCs w:val="28"/>
        </w:rPr>
        <w:t>─</w:t>
      </w:r>
      <w:proofErr w:type="gramEnd"/>
    </w:p>
    <w:p w:rsidR="00C762BF" w:rsidRPr="00AA75E7" w:rsidRDefault="00C762BF" w:rsidP="00C762BF">
      <w:pPr>
        <w:spacing w:line="48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6521E3">
        <w:rPr>
          <w:rFonts w:ascii="標楷體" w:eastAsia="標楷體" w:hAnsi="標楷體" w:cs="Times New Roman" w:hint="eastAsia"/>
          <w:b/>
          <w:sz w:val="28"/>
          <w:szCs w:val="28"/>
        </w:rPr>
        <w:t>地　　點：</w:t>
      </w:r>
      <w:r w:rsidRPr="00AA75E7">
        <w:rPr>
          <w:rFonts w:ascii="標楷體" w:eastAsia="標楷體" w:hAnsi="標楷體" w:cs="Times New Roman" w:hint="eastAsia"/>
          <w:sz w:val="28"/>
          <w:szCs w:val="28"/>
        </w:rPr>
        <w:t>臺北市教師研習中心</w:t>
      </w:r>
      <w:r w:rsidR="00D238DA">
        <w:rPr>
          <w:rFonts w:ascii="標楷體" w:eastAsia="標楷體" w:hAnsi="標楷體" w:cs="Times New Roman" w:hint="eastAsia"/>
          <w:sz w:val="26"/>
          <w:szCs w:val="26"/>
        </w:rPr>
        <w:t>中正堂</w:t>
      </w:r>
    </w:p>
    <w:p w:rsidR="001B24B0" w:rsidRPr="003D7FD1" w:rsidRDefault="00C762BF" w:rsidP="006521E3">
      <w:pPr>
        <w:spacing w:line="5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A75E7">
        <w:rPr>
          <w:rFonts w:ascii="標楷體" w:eastAsia="標楷體" w:hAnsi="標楷體" w:cs="Times New Roman" w:hint="eastAsia"/>
          <w:sz w:val="28"/>
          <w:szCs w:val="28"/>
        </w:rPr>
        <w:t>【臺北報導】</w:t>
      </w:r>
      <w:r w:rsidR="00033502" w:rsidRPr="00AA75E7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F5BAE" w:rsidRPr="003D7FD1">
        <w:rPr>
          <w:rFonts w:ascii="標楷體" w:eastAsia="標楷體" w:hAnsi="標楷體" w:cs="Times New Roman" w:hint="eastAsia"/>
          <w:sz w:val="28"/>
          <w:szCs w:val="28"/>
        </w:rPr>
        <w:t>臺北市教師研習中心</w:t>
      </w:r>
      <w:r w:rsidR="00033502" w:rsidRPr="003D7FD1">
        <w:rPr>
          <w:rFonts w:ascii="標楷體" w:eastAsia="標楷體" w:hAnsi="標楷體" w:cs="Times New Roman" w:hint="eastAsia"/>
          <w:sz w:val="28"/>
          <w:szCs w:val="28"/>
        </w:rPr>
        <w:t>為配合市府施政策略地圖及績效管理政策之推動</w:t>
      </w:r>
      <w:r w:rsidR="00BF5BAE" w:rsidRPr="003D7FD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33502" w:rsidRPr="003D7FD1">
        <w:rPr>
          <w:rFonts w:ascii="標楷體" w:eastAsia="標楷體" w:hAnsi="標楷體" w:cs="Times New Roman" w:hint="eastAsia"/>
          <w:sz w:val="28"/>
          <w:szCs w:val="28"/>
        </w:rPr>
        <w:t>特於今日(9月2日)下午2：00邀請臺北市政府研考會陳主委銘</w:t>
      </w:r>
      <w:proofErr w:type="gramStart"/>
      <w:r w:rsidR="00033502" w:rsidRPr="003D7FD1">
        <w:rPr>
          <w:rFonts w:ascii="標楷體" w:eastAsia="標楷體" w:hAnsi="標楷體" w:cs="Times New Roman" w:hint="eastAsia"/>
          <w:sz w:val="28"/>
          <w:szCs w:val="28"/>
        </w:rPr>
        <w:t>薰</w:t>
      </w:r>
      <w:proofErr w:type="gramEnd"/>
      <w:r w:rsidR="00033502" w:rsidRPr="003D7FD1">
        <w:rPr>
          <w:rFonts w:ascii="標楷體" w:eastAsia="標楷體" w:hAnsi="標楷體" w:cs="Times New Roman" w:hint="eastAsia"/>
          <w:sz w:val="28"/>
          <w:szCs w:val="28"/>
        </w:rPr>
        <w:t>蒞臨中心，擔任「市府策略地圖與關鍵績效指標」研習講座。</w:t>
      </w:r>
    </w:p>
    <w:p w:rsidR="00033502" w:rsidRDefault="003D7FD1" w:rsidP="00033502">
      <w:pPr>
        <w:spacing w:line="5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D7FD1">
        <w:rPr>
          <w:rFonts w:ascii="標楷體" w:eastAsia="標楷體" w:hAnsi="標楷體" w:cs="Times New Roman" w:hint="eastAsia"/>
          <w:sz w:val="28"/>
          <w:szCs w:val="28"/>
        </w:rPr>
        <w:t>今天的研習對象為教研中心職員及支援教師，在陽明山晴朗的午後，與陳主委一起探討策略地圖與關鍵績效指標的目的與功用。研習的內容包括「策略規劃管理」、「SWOT分析」、「TOWS分析-擬定策略」及「平衡計分卡與策略地圖」等四大部份。</w:t>
      </w:r>
    </w:p>
    <w:p w:rsidR="00AE5BD1" w:rsidRDefault="00AE5BD1" w:rsidP="00033502">
      <w:pPr>
        <w:spacing w:line="5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在2小時的研習中，陳主委提供了清晰明確的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sz w:val="28"/>
          <w:szCs w:val="28"/>
        </w:rPr>
        <w:t>策略規劃管理體系圖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sz w:val="28"/>
          <w:szCs w:val="28"/>
        </w:rPr>
        <w:t>策略地圖推動邏輯圖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，並以新加坡及六都為競爭對象，舉例說明本市及六都、新加坡之優、劣勢、機會與威脅之SWOT分析。最後說明平衡計分卡四大構面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sz w:val="28"/>
          <w:szCs w:val="28"/>
        </w:rPr>
        <w:t>財務構面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sz w:val="28"/>
          <w:szCs w:val="28"/>
        </w:rPr>
        <w:t>顧客構面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sz w:val="28"/>
          <w:szCs w:val="28"/>
        </w:rPr>
        <w:t>內部流程</w:t>
      </w:r>
    </w:p>
    <w:p w:rsidR="00AE5BD1" w:rsidRPr="00D02B7B" w:rsidRDefault="00AE5BD1" w:rsidP="001B24B0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3D7FD1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sz w:val="28"/>
          <w:szCs w:val="28"/>
        </w:rPr>
        <w:t>學習成長</w:t>
      </w:r>
      <w:r w:rsidRPr="003D7FD1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與機關願景、績效管理及關鍵績效指標之關係，短短</w:t>
      </w:r>
      <w:r w:rsidRPr="00D02B7B">
        <w:rPr>
          <w:rFonts w:ascii="標楷體" w:eastAsia="標楷體" w:hAnsi="標楷體" w:cs="Times New Roman" w:hint="eastAsia"/>
          <w:sz w:val="28"/>
          <w:szCs w:val="28"/>
        </w:rPr>
        <w:t>的2小時，內容豐富精彩。</w:t>
      </w:r>
    </w:p>
    <w:p w:rsidR="007521CD" w:rsidRPr="00EA0E6B" w:rsidRDefault="007521CD" w:rsidP="00C762BF">
      <w:pPr>
        <w:spacing w:line="56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EA0E6B">
        <w:rPr>
          <w:rFonts w:ascii="標楷體" w:eastAsia="標楷體" w:hAnsi="標楷體" w:cs="Times New Roman" w:hint="eastAsia"/>
          <w:sz w:val="28"/>
          <w:szCs w:val="28"/>
        </w:rPr>
        <w:t>參與研習的同仁們，更是將目前遇到的問題，直接向陳主任委員請益，陳主任委員針對每一個問題，則以實際的案例，作為解答的依</w:t>
      </w:r>
      <w:r w:rsidRPr="00EA0E6B">
        <w:rPr>
          <w:rFonts w:ascii="標楷體" w:eastAsia="標楷體" w:hAnsi="標楷體" w:cs="Times New Roman" w:hint="eastAsia"/>
          <w:sz w:val="28"/>
          <w:szCs w:val="28"/>
        </w:rPr>
        <w:lastRenderedPageBreak/>
        <w:t>據，如此完整且全面的回答，更是得到同仁們的熱烈回應；本次的研習課程，藉由陳主任委員的實務分享，讓同仁們得以見識到策略地圖</w:t>
      </w:r>
    </w:p>
    <w:p w:rsidR="007521CD" w:rsidRPr="00EA0E6B" w:rsidRDefault="007521CD" w:rsidP="007521CD">
      <w:pPr>
        <w:spacing w:line="5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A0E6B">
        <w:rPr>
          <w:rFonts w:ascii="標楷體" w:eastAsia="標楷體" w:hAnsi="標楷體" w:cs="Times New Roman" w:hint="eastAsia"/>
          <w:sz w:val="28"/>
          <w:szCs w:val="28"/>
        </w:rPr>
        <w:t>及關鍵績效指標</w:t>
      </w:r>
      <w:r w:rsidR="00AE5BD1" w:rsidRPr="00EA0E6B">
        <w:rPr>
          <w:rFonts w:ascii="標楷體" w:eastAsia="標楷體" w:hAnsi="標楷體" w:cs="Times New Roman" w:hint="eastAsia"/>
          <w:sz w:val="28"/>
          <w:szCs w:val="28"/>
        </w:rPr>
        <w:t>的功能與目的</w:t>
      </w:r>
      <w:r w:rsidRPr="00EA0E6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D2D11" w:rsidRPr="00CD2D11" w:rsidRDefault="00CD2D11" w:rsidP="007521CD">
      <w:pPr>
        <w:spacing w:line="560" w:lineRule="exact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D02B7B">
        <w:rPr>
          <w:rFonts w:ascii="標楷體" w:eastAsia="標楷體" w:hAnsi="標楷體" w:cs="Times New Roman" w:hint="eastAsia"/>
          <w:sz w:val="28"/>
          <w:szCs w:val="28"/>
        </w:rPr>
        <w:t xml:space="preserve">    教研中心受教育局委託，將於</w:t>
      </w:r>
      <w:r w:rsidR="006521E3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02B7B">
        <w:rPr>
          <w:rFonts w:ascii="標楷體" w:eastAsia="標楷體" w:hAnsi="標楷體" w:cs="Times New Roman" w:hint="eastAsia"/>
          <w:sz w:val="28"/>
          <w:szCs w:val="28"/>
        </w:rPr>
        <w:t>月辦理9職等同仁研習，屆時亦將再邀請陳主委擔任「市府策略地圖與關鍵績效指標」講座，以引</w:t>
      </w:r>
      <w:r>
        <w:rPr>
          <w:rFonts w:ascii="標楷體" w:eastAsia="標楷體" w:hAnsi="標楷體" w:cs="Times New Roman" w:hint="eastAsia"/>
          <w:sz w:val="28"/>
          <w:szCs w:val="28"/>
        </w:rPr>
        <w:t>領教育局同仁學習成長，共同</w:t>
      </w:r>
      <w:r w:rsidR="00D02B7B">
        <w:rPr>
          <w:rFonts w:ascii="標楷體" w:eastAsia="標楷體" w:hAnsi="標楷體" w:cs="Times New Roman" w:hint="eastAsia"/>
          <w:sz w:val="28"/>
          <w:szCs w:val="28"/>
        </w:rPr>
        <w:t>往市府</w:t>
      </w:r>
      <w:r w:rsidR="00D02B7B" w:rsidRPr="003D7FD1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D02B7B">
        <w:rPr>
          <w:rFonts w:ascii="標楷體" w:eastAsia="標楷體" w:hAnsi="標楷體" w:cs="Times New Roman" w:hint="eastAsia"/>
          <w:sz w:val="28"/>
          <w:szCs w:val="28"/>
        </w:rPr>
        <w:t>宜居城市</w:t>
      </w:r>
      <w:r w:rsidR="00D02B7B" w:rsidRPr="003D7FD1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D02B7B">
        <w:rPr>
          <w:rFonts w:ascii="標楷體" w:eastAsia="標楷體" w:hAnsi="標楷體" w:cs="Times New Roman" w:hint="eastAsia"/>
          <w:sz w:val="28"/>
          <w:szCs w:val="28"/>
        </w:rPr>
        <w:t>的願景邁進。</w:t>
      </w:r>
    </w:p>
    <w:p w:rsidR="001B24B0" w:rsidRDefault="001B24B0" w:rsidP="00C762BF">
      <w:pPr>
        <w:rPr>
          <w:rFonts w:ascii="標楷體" w:eastAsia="標楷體" w:hAnsi="標楷體" w:cs="Times New Roman"/>
          <w:sz w:val="28"/>
          <w:szCs w:val="28"/>
        </w:rPr>
      </w:pPr>
    </w:p>
    <w:sectPr w:rsidR="001B2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20" w:rsidRDefault="00F32020" w:rsidP="00C762BF">
      <w:r>
        <w:separator/>
      </w:r>
    </w:p>
  </w:endnote>
  <w:endnote w:type="continuationSeparator" w:id="0">
    <w:p w:rsidR="00F32020" w:rsidRDefault="00F32020" w:rsidP="00C7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20" w:rsidRDefault="00F32020" w:rsidP="00C762BF">
      <w:r>
        <w:separator/>
      </w:r>
    </w:p>
  </w:footnote>
  <w:footnote w:type="continuationSeparator" w:id="0">
    <w:p w:rsidR="00F32020" w:rsidRDefault="00F32020" w:rsidP="00C7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BA"/>
    <w:rsid w:val="00033502"/>
    <w:rsid w:val="00035D0A"/>
    <w:rsid w:val="00077A3B"/>
    <w:rsid w:val="00112451"/>
    <w:rsid w:val="00122112"/>
    <w:rsid w:val="001B24B0"/>
    <w:rsid w:val="002D40CE"/>
    <w:rsid w:val="002F7B0B"/>
    <w:rsid w:val="003230F1"/>
    <w:rsid w:val="003D7FD1"/>
    <w:rsid w:val="00473F95"/>
    <w:rsid w:val="005E5382"/>
    <w:rsid w:val="006366A2"/>
    <w:rsid w:val="006521E3"/>
    <w:rsid w:val="007521CD"/>
    <w:rsid w:val="00877EBA"/>
    <w:rsid w:val="008B6B9F"/>
    <w:rsid w:val="009C30BD"/>
    <w:rsid w:val="00AE5BD1"/>
    <w:rsid w:val="00BF5BAE"/>
    <w:rsid w:val="00C762BF"/>
    <w:rsid w:val="00C85772"/>
    <w:rsid w:val="00CB3C4F"/>
    <w:rsid w:val="00CD2D11"/>
    <w:rsid w:val="00D02B7B"/>
    <w:rsid w:val="00D17653"/>
    <w:rsid w:val="00D238DA"/>
    <w:rsid w:val="00D52113"/>
    <w:rsid w:val="00DA085C"/>
    <w:rsid w:val="00DE17A0"/>
    <w:rsid w:val="00EA0E6B"/>
    <w:rsid w:val="00EB488D"/>
    <w:rsid w:val="00EE47DF"/>
    <w:rsid w:val="00F32020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62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62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62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6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蔡舒文</dc:creator>
  <cp:lastModifiedBy>李雪鳳</cp:lastModifiedBy>
  <cp:revision>2</cp:revision>
  <cp:lastPrinted>2015-09-02T07:23:00Z</cp:lastPrinted>
  <dcterms:created xsi:type="dcterms:W3CDTF">2015-09-02T08:03:00Z</dcterms:created>
  <dcterms:modified xsi:type="dcterms:W3CDTF">2015-09-02T08:03:00Z</dcterms:modified>
</cp:coreProperties>
</file>